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187" w:rsidRDefault="007F6187" w:rsidP="007F6187">
      <w:pPr>
        <w:jc w:val="both"/>
        <w:rPr>
          <w:b/>
        </w:rPr>
      </w:pPr>
      <w:r>
        <w:rPr>
          <w:b/>
        </w:rPr>
        <w:t xml:space="preserve">                                                                                                                                      </w:t>
      </w:r>
      <w:r w:rsidR="005D79C7">
        <w:rPr>
          <w:b/>
        </w:rPr>
        <w:t xml:space="preserve">    </w:t>
      </w:r>
      <w:r>
        <w:rPr>
          <w:b/>
        </w:rPr>
        <w:t xml:space="preserve">                    </w:t>
      </w:r>
      <w:r w:rsidR="005D79C7">
        <w:rPr>
          <w:b/>
        </w:rPr>
        <w:t>1</w:t>
      </w:r>
      <w:r w:rsidR="00137D04">
        <w:rPr>
          <w:b/>
        </w:rPr>
        <w:t>7</w:t>
      </w:r>
      <w:r w:rsidR="005D79C7">
        <w:rPr>
          <w:b/>
        </w:rPr>
        <w:t xml:space="preserve"> Eylül 2019</w:t>
      </w:r>
    </w:p>
    <w:p w:rsidR="005D79C7" w:rsidRDefault="005D79C7" w:rsidP="007F6187">
      <w:pPr>
        <w:jc w:val="both"/>
        <w:rPr>
          <w:b/>
        </w:rPr>
      </w:pPr>
      <w:r>
        <w:rPr>
          <w:b/>
        </w:rPr>
        <w:t>ADALAR DENİZİ TÜRK KITA SAHANLIĞI VE MÜNHASIR EKONOMİK BÖLGESİ</w:t>
      </w:r>
    </w:p>
    <w:p w:rsidR="00021740" w:rsidRDefault="007F6187" w:rsidP="007F6187">
      <w:pPr>
        <w:jc w:val="both"/>
      </w:pPr>
      <w:r w:rsidRPr="00D21C8E">
        <w:t xml:space="preserve">     </w:t>
      </w:r>
      <w:r w:rsidR="002C360B">
        <w:t>Türk kamuoyu, geçtiğimiz yıllarda</w:t>
      </w:r>
      <w:r w:rsidR="00021740">
        <w:t xml:space="preserve"> ve günümüzde</w:t>
      </w:r>
      <w:r w:rsidR="002C360B">
        <w:t xml:space="preserve"> sık sık gündeme getirilen </w:t>
      </w:r>
      <w:r w:rsidR="002C360B" w:rsidRPr="00DC2240">
        <w:rPr>
          <w:b/>
          <w:bCs/>
        </w:rPr>
        <w:t>462 bin kilometrekarelik Mavi Vatan</w:t>
      </w:r>
      <w:r w:rsidR="002C360B">
        <w:t xml:space="preserve"> sınırlarının neye göre hesaplandığını merak ediyordu. Deniz Harp Okulu</w:t>
      </w:r>
      <w:r w:rsidR="00021740">
        <w:t xml:space="preserve"> </w:t>
      </w:r>
      <w:r w:rsidR="002C360B">
        <w:t>Şeref Salonu</w:t>
      </w:r>
      <w:r w:rsidR="00021740">
        <w:t>’</w:t>
      </w:r>
      <w:r w:rsidR="002C360B">
        <w:t>nda</w:t>
      </w:r>
      <w:r w:rsidR="00021740">
        <w:t>,</w:t>
      </w:r>
      <w:r w:rsidR="002C360B">
        <w:t xml:space="preserve"> </w:t>
      </w:r>
      <w:r w:rsidR="00021740" w:rsidRPr="00A85853">
        <w:rPr>
          <w:b/>
          <w:bCs/>
        </w:rPr>
        <w:t>31 Ağustos 2019</w:t>
      </w:r>
      <w:r w:rsidR="00021740">
        <w:t xml:space="preserve">’da </w:t>
      </w:r>
      <w:r w:rsidR="002C360B">
        <w:t xml:space="preserve">çekilen fotoğrafta </w:t>
      </w:r>
      <w:r w:rsidR="00021740">
        <w:t xml:space="preserve">yer alan harita ile </w:t>
      </w:r>
      <w:r w:rsidR="002C360B">
        <w:t>Mavi Vatan</w:t>
      </w:r>
      <w:r w:rsidR="00021740">
        <w:t xml:space="preserve"> yani </w:t>
      </w:r>
      <w:r w:rsidR="002C360B">
        <w:t>Türkiye’nin deniz yetki alanları</w:t>
      </w:r>
      <w:r w:rsidR="00021740">
        <w:t xml:space="preserve">nın sınırları </w:t>
      </w:r>
      <w:r w:rsidR="00E74EA5">
        <w:t xml:space="preserve">Türk ve dünya </w:t>
      </w:r>
      <w:r w:rsidR="00021740">
        <w:t>kamuoyuna sunuldu.</w:t>
      </w:r>
    </w:p>
    <w:p w:rsidR="00B70DAF" w:rsidRDefault="00021740" w:rsidP="007F6187">
      <w:pPr>
        <w:jc w:val="both"/>
      </w:pPr>
      <w:r>
        <w:t xml:space="preserve">     Türk Deniz Kuvvetleri, Genelkurmay Başkanlığı ve Milli Savunma Bakanlığı’nın görüş</w:t>
      </w:r>
      <w:r w:rsidR="0020548E">
        <w:t>lerini</w:t>
      </w:r>
      <w:r>
        <w:t xml:space="preserve"> yansıtan Mavi Vatan haritasında Türkiye’nin Karadeniz, Marmara Denizi, Adalar (Ege) Denizi ve </w:t>
      </w:r>
      <w:r w:rsidR="00B70DAF">
        <w:t xml:space="preserve">Doğu </w:t>
      </w:r>
      <w:r>
        <w:t>Akdeniz</w:t>
      </w:r>
      <w:r w:rsidR="00B70DAF">
        <w:t>’deki Kıta Sahanlığı ve Münhasır Ekonomik Bölgesi’nin sınırları belirlenmiş.</w:t>
      </w:r>
    </w:p>
    <w:p w:rsidR="00996A30" w:rsidRDefault="00996A30" w:rsidP="00996A30">
      <w:pPr>
        <w:jc w:val="center"/>
      </w:pPr>
      <w:r w:rsidRPr="00996A30">
        <w:rPr>
          <w:noProof/>
        </w:rPr>
        <w:drawing>
          <wp:inline distT="0" distB="0" distL="0" distR="0" wp14:anchorId="59C02887" wp14:editId="0FB73791">
            <wp:extent cx="4429125" cy="3321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9926" cy="3322445"/>
                    </a:xfrm>
                    <a:prstGeom prst="rect">
                      <a:avLst/>
                    </a:prstGeom>
                  </pic:spPr>
                </pic:pic>
              </a:graphicData>
            </a:graphic>
          </wp:inline>
        </w:drawing>
      </w:r>
    </w:p>
    <w:p w:rsidR="00161E4F" w:rsidRDefault="00B70DAF" w:rsidP="007F6187">
      <w:pPr>
        <w:jc w:val="both"/>
      </w:pPr>
      <w:r>
        <w:t xml:space="preserve">     Karadeniz’de, Türkiye’nin </w:t>
      </w:r>
      <w:r w:rsidRPr="00CA61BF">
        <w:rPr>
          <w:b/>
          <w:bCs/>
        </w:rPr>
        <w:t>1986</w:t>
      </w:r>
      <w:r>
        <w:t xml:space="preserve">’da ilan ettiği </w:t>
      </w:r>
      <w:r w:rsidRPr="00CA61BF">
        <w:rPr>
          <w:b/>
          <w:bCs/>
        </w:rPr>
        <w:t>200 millik Münhasır Ekonomik Bölge</w:t>
      </w:r>
      <w:r>
        <w:t xml:space="preserve"> sınırları </w:t>
      </w:r>
      <w:r w:rsidR="00161E4F">
        <w:t>çizilmiş</w:t>
      </w:r>
      <w:r>
        <w:t>. İç deniz olduğu için Marmara Denizi’nin tamamı</w:t>
      </w:r>
      <w:r w:rsidR="00161E4F">
        <w:t xml:space="preserve"> gösterilmiş.</w:t>
      </w:r>
      <w:r w:rsidR="00161E4F" w:rsidRPr="00161E4F">
        <w:t xml:space="preserve"> </w:t>
      </w:r>
      <w:r w:rsidR="00161E4F" w:rsidRPr="00723E99">
        <w:rPr>
          <w:b/>
          <w:bCs/>
        </w:rPr>
        <w:t>Adalar (Ege) Denizi</w:t>
      </w:r>
      <w:r w:rsidR="00161E4F">
        <w:t>’nde 25 Derece boylamının doğusu esas alınmış. Doğu Akdeniz’de ise Dr. Cihat Yaycı’nın yayınladığı Doğu Akdeniz Kıta Sahanlığı ve Münhasır Ekonomik Bölge sınırları gösterilmiş.</w:t>
      </w:r>
    </w:p>
    <w:p w:rsidR="00161E4F" w:rsidRDefault="00DB18D4" w:rsidP="007F6187">
      <w:pPr>
        <w:jc w:val="both"/>
      </w:pPr>
      <w:r>
        <w:t xml:space="preserve">     Karadeniz ve Marmara Denizi’ndeki deniz yetki alanlarımız </w:t>
      </w:r>
      <w:r w:rsidR="005A1F4C">
        <w:t>uluslararası an</w:t>
      </w:r>
      <w:r w:rsidR="00447031">
        <w:t>t</w:t>
      </w:r>
      <w:r w:rsidR="005A1F4C">
        <w:t xml:space="preserve">laşmalara ve </w:t>
      </w:r>
      <w:r>
        <w:t>uluslararası hukuka uygundur. Ancak, Ege Denizi ve Doğu Akdeniz’deki deniz yetki alanlarımız eksik olarak tanımlanmış ve Türkiye’nin aleyhine bir durum oluşmuştur.</w:t>
      </w:r>
    </w:p>
    <w:p w:rsidR="00FF027C" w:rsidRDefault="004E4826" w:rsidP="007F6187">
      <w:pPr>
        <w:jc w:val="both"/>
        <w:rPr>
          <w:b/>
          <w:bCs/>
        </w:rPr>
      </w:pPr>
      <w:r>
        <w:rPr>
          <w:b/>
          <w:bCs/>
        </w:rPr>
        <w:t>EGE’DE</w:t>
      </w:r>
      <w:r w:rsidR="00FF027C">
        <w:rPr>
          <w:b/>
          <w:bCs/>
        </w:rPr>
        <w:t>, 25 DERECE BOYLAMININ UYGULANMASI HALİNDE TÜRKİYE ÖNEMLİ ÖLÇÜDE KITA SAHANLIĞINI KAYBEDECEKTİR !...</w:t>
      </w:r>
    </w:p>
    <w:p w:rsidR="0053516D" w:rsidRDefault="00206499" w:rsidP="007F6187">
      <w:pPr>
        <w:jc w:val="both"/>
      </w:pPr>
      <w:r>
        <w:t xml:space="preserve">     Ege</w:t>
      </w:r>
      <w:r w:rsidR="0053516D">
        <w:t>’deki deniz sınırını</w:t>
      </w:r>
      <w:r>
        <w:t xml:space="preserve"> 25 Derece boylamının doğusu</w:t>
      </w:r>
      <w:r w:rsidR="0053516D">
        <w:t xml:space="preserve">ndan geçiren </w:t>
      </w:r>
      <w:r>
        <w:t xml:space="preserve">Türk Deniz Kuvvetleri’nin </w:t>
      </w:r>
      <w:r w:rsidR="0053516D">
        <w:t>Ege Denizi’ni ortadan ikiye ayırarak eşit ve hakça paylaşım ilkesini esas aldığı değerlendirilmektedir. Çizilen deniz sınırı ile Türkiye’nin 25 Derece boylamının batısındaki deniz yetki alanları Yunanistan’a bırakılırken, Yunanistan’ın 12 ada bölgesindeki deniz yetki alanları Türk Kıta Sahanlığı</w:t>
      </w:r>
      <w:r w:rsidR="007D7FD6">
        <w:t>na dahil edilmiştir.</w:t>
      </w:r>
    </w:p>
    <w:p w:rsidR="007D7FD6" w:rsidRDefault="007D7FD6" w:rsidP="007D7FD6">
      <w:pPr>
        <w:jc w:val="both"/>
      </w:pPr>
      <w:r>
        <w:lastRenderedPageBreak/>
        <w:t xml:space="preserve">     Yunanistan, kendisine bırakılan Türk deniz yetki alanlarına sessiz kalırken, 12 ada bölgesindeki Yunan deniz yetki alanlarının Türk Kıta Sahanlığına dahil edilmesine tepki vermiştir.</w:t>
      </w:r>
    </w:p>
    <w:p w:rsidR="007D7FD6" w:rsidRDefault="007D7FD6" w:rsidP="007D7FD6">
      <w:pPr>
        <w:jc w:val="both"/>
      </w:pPr>
      <w:r>
        <w:t xml:space="preserve">     </w:t>
      </w:r>
      <w:r w:rsidRPr="007845F4">
        <w:rPr>
          <w:b/>
          <w:bCs/>
        </w:rPr>
        <w:t>Dikkat çeken diğer bir konu da</w:t>
      </w:r>
      <w:r w:rsidR="0078782F" w:rsidRPr="007845F4">
        <w:rPr>
          <w:b/>
          <w:bCs/>
        </w:rPr>
        <w:t>,</w:t>
      </w:r>
      <w:r w:rsidRPr="007845F4">
        <w:rPr>
          <w:b/>
          <w:bCs/>
        </w:rPr>
        <w:t xml:space="preserve"> Türk Deniz Kuvvetleri ile Genelkurmay Başkanlığı’nın</w:t>
      </w:r>
      <w:r w:rsidR="0078782F" w:rsidRPr="007845F4">
        <w:rPr>
          <w:b/>
          <w:bCs/>
        </w:rPr>
        <w:t>,</w:t>
      </w:r>
      <w:r w:rsidRPr="007845F4">
        <w:rPr>
          <w:b/>
          <w:bCs/>
        </w:rPr>
        <w:t xml:space="preserve"> </w:t>
      </w:r>
      <w:r w:rsidR="0078782F" w:rsidRPr="007845F4">
        <w:rPr>
          <w:b/>
          <w:bCs/>
        </w:rPr>
        <w:t xml:space="preserve">Ege Denizi Türk Kıta Sahanlığı sınırları hakkında </w:t>
      </w:r>
      <w:r w:rsidRPr="007845F4">
        <w:rPr>
          <w:b/>
          <w:bCs/>
        </w:rPr>
        <w:t>1974</w:t>
      </w:r>
      <w:r w:rsidR="0078782F" w:rsidRPr="007845F4">
        <w:rPr>
          <w:b/>
          <w:bCs/>
        </w:rPr>
        <w:t xml:space="preserve"> yılındaki görüşleri ile 2019 yılındaki görüşlerinin farklılık arz etmesidir.</w:t>
      </w:r>
      <w:r w:rsidR="0078782F">
        <w:t xml:space="preserve"> Enerji ve Tabii Kaynaklar Bakanlığı</w:t>
      </w:r>
      <w:r w:rsidR="00B1189E">
        <w:t xml:space="preserve">, </w:t>
      </w:r>
      <w:r w:rsidR="00B1189E" w:rsidRPr="003607CE">
        <w:rPr>
          <w:b/>
          <w:bCs/>
        </w:rPr>
        <w:t>11 Ocak 1974</w:t>
      </w:r>
      <w:r w:rsidR="00B1189E">
        <w:t>’te Deniz Kuvvetleri Komutanlığı ve Genelkurmay Başkanlığı’na bir yazı ve kroki göndererek Ege Denizi Türk Kıta Sahanlığında petrol arama sahaları hakkında görüş istemiştir.</w:t>
      </w:r>
      <w:r w:rsidR="0078782F">
        <w:t xml:space="preserve"> </w:t>
      </w:r>
      <w:r w:rsidR="00B1189E">
        <w:t xml:space="preserve">Deniz Kuvvetleri ve Genelkurmay Başkanlığı </w:t>
      </w:r>
      <w:r w:rsidR="00183AC3">
        <w:t xml:space="preserve">anılan sahalar ve Türk Kıta Sahanlığı </w:t>
      </w:r>
      <w:r w:rsidR="00155F25">
        <w:t xml:space="preserve">sınırları </w:t>
      </w:r>
      <w:r w:rsidR="00183AC3">
        <w:t xml:space="preserve">hakkında </w:t>
      </w:r>
      <w:r w:rsidR="00B1189E" w:rsidRPr="00155F25">
        <w:rPr>
          <w:b/>
          <w:bCs/>
        </w:rPr>
        <w:t>25-26 Ocak 1974</w:t>
      </w:r>
      <w:r w:rsidR="00B1189E">
        <w:t>’te olumlu görüş bildirmiştir.</w:t>
      </w:r>
    </w:p>
    <w:p w:rsidR="00B1189E" w:rsidRDefault="00B1189E" w:rsidP="00B1189E">
      <w:pPr>
        <w:jc w:val="center"/>
      </w:pPr>
      <w:r w:rsidRPr="00B1189E">
        <w:rPr>
          <w:noProof/>
        </w:rPr>
        <w:drawing>
          <wp:inline distT="0" distB="0" distL="0" distR="0" wp14:anchorId="17437A4B" wp14:editId="1C539BB3">
            <wp:extent cx="4219575" cy="3164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4742" cy="3168557"/>
                    </a:xfrm>
                    <a:prstGeom prst="rect">
                      <a:avLst/>
                    </a:prstGeom>
                  </pic:spPr>
                </pic:pic>
              </a:graphicData>
            </a:graphic>
          </wp:inline>
        </w:drawing>
      </w:r>
    </w:p>
    <w:p w:rsidR="00052D1E" w:rsidRDefault="00B1189E" w:rsidP="007F6187">
      <w:pPr>
        <w:jc w:val="both"/>
      </w:pPr>
      <w:r>
        <w:t xml:space="preserve">     Dışişleri Bakanlığı’ndan da olumlu görüş alan CHP-MSP Koalisyon Hükümeti</w:t>
      </w:r>
      <w:r w:rsidR="00052D1E">
        <w:t xml:space="preserve">, </w:t>
      </w:r>
      <w:r w:rsidR="00052D1E" w:rsidRPr="00E80760">
        <w:rPr>
          <w:b/>
          <w:bCs/>
        </w:rPr>
        <w:t>02 Temmuz 1974</w:t>
      </w:r>
      <w:r w:rsidR="00052D1E">
        <w:t>’te Bakanlar Kurulu Kararı ile TPAO’ya Ege Denizi Türk Kıta Sahanlığında petrol arama yetkisi vermiştir.</w:t>
      </w:r>
    </w:p>
    <w:p w:rsidR="00B1189E" w:rsidRDefault="00052D1E" w:rsidP="00052D1E">
      <w:pPr>
        <w:jc w:val="center"/>
      </w:pPr>
      <w:r w:rsidRPr="00052D1E">
        <w:rPr>
          <w:noProof/>
        </w:rPr>
        <w:drawing>
          <wp:inline distT="0" distB="0" distL="0" distR="0" wp14:anchorId="3A222580" wp14:editId="2BFE70ED">
            <wp:extent cx="4279900" cy="32099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2989" cy="3234742"/>
                    </a:xfrm>
                    <a:prstGeom prst="rect">
                      <a:avLst/>
                    </a:prstGeom>
                  </pic:spPr>
                </pic:pic>
              </a:graphicData>
            </a:graphic>
          </wp:inline>
        </w:drawing>
      </w:r>
    </w:p>
    <w:p w:rsidR="00052D1E" w:rsidRDefault="00052D1E" w:rsidP="007F6187">
      <w:pPr>
        <w:jc w:val="both"/>
      </w:pPr>
      <w:r>
        <w:lastRenderedPageBreak/>
        <w:t xml:space="preserve">     Bakanlar Kurulu Kararı’na ek olarak konulan krokide,</w:t>
      </w:r>
      <w:r w:rsidRPr="00052D1E">
        <w:t xml:space="preserve"> </w:t>
      </w:r>
      <w:r>
        <w:t>24 derece boylamının doğusunda</w:t>
      </w:r>
      <w:r w:rsidR="00F85D74">
        <w:t>,</w:t>
      </w:r>
      <w:r>
        <w:t xml:space="preserve"> 1923 Lozan Antlaşması’nın 12. Maddesi ile Yunanistan’a sadece kullanma hakkı verilen Kuzey Ege Adalarının Türk Kıta Sahanlığında</w:t>
      </w:r>
      <w:r w:rsidR="00F85D74">
        <w:t xml:space="preserve"> TPAO’ya petrol arama yetkisi verilmiştir.</w:t>
      </w:r>
    </w:p>
    <w:p w:rsidR="00052D1E" w:rsidRDefault="00052D1E" w:rsidP="00052D1E">
      <w:pPr>
        <w:jc w:val="center"/>
      </w:pPr>
      <w:r w:rsidRPr="00052D1E">
        <w:rPr>
          <w:noProof/>
        </w:rPr>
        <w:drawing>
          <wp:inline distT="0" distB="0" distL="0" distR="0" wp14:anchorId="7CABE003" wp14:editId="550979DF">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rsidR="006E6DC8" w:rsidRPr="006309E5" w:rsidRDefault="006E6DC8" w:rsidP="007F6187">
      <w:pPr>
        <w:jc w:val="both"/>
        <w:rPr>
          <w:b/>
          <w:bCs/>
          <w:u w:val="single"/>
        </w:rPr>
      </w:pPr>
      <w:r>
        <w:t xml:space="preserve">     </w:t>
      </w:r>
      <w:r w:rsidRPr="006309E5">
        <w:rPr>
          <w:b/>
          <w:bCs/>
          <w:u w:val="single"/>
        </w:rPr>
        <w:t>1974 yılında, Ege Denizi Türk Kıta Sahanlığı sınırlarını</w:t>
      </w:r>
      <w:r w:rsidR="002C305F" w:rsidRPr="006309E5">
        <w:rPr>
          <w:b/>
          <w:bCs/>
          <w:u w:val="single"/>
        </w:rPr>
        <w:t>n</w:t>
      </w:r>
      <w:r w:rsidRPr="006309E5">
        <w:rPr>
          <w:b/>
          <w:bCs/>
          <w:u w:val="single"/>
        </w:rPr>
        <w:t xml:space="preserve"> 24 derece boylamının doğusundan geç</w:t>
      </w:r>
      <w:r w:rsidR="002C305F" w:rsidRPr="006309E5">
        <w:rPr>
          <w:b/>
          <w:bCs/>
          <w:u w:val="single"/>
        </w:rPr>
        <w:t>tiğini kabul eden</w:t>
      </w:r>
      <w:r w:rsidRPr="006309E5">
        <w:rPr>
          <w:b/>
          <w:bCs/>
          <w:u w:val="single"/>
        </w:rPr>
        <w:t xml:space="preserve"> Türk Deniz Kuvvetleri ve Genelkurmay Başkanlığı, 2019 yılında sınırı bir boylam doğuya çekerek 25 derece boylamının doğusundan geçirmiştir.</w:t>
      </w:r>
      <w:r w:rsidR="000E3EA2" w:rsidRPr="006309E5">
        <w:rPr>
          <w:b/>
          <w:bCs/>
          <w:u w:val="single"/>
        </w:rPr>
        <w:t xml:space="preserve"> Sınır yaklaşık olarak 85 km. doğuya kaydırılmıştır.</w:t>
      </w:r>
      <w:r w:rsidRPr="006309E5">
        <w:rPr>
          <w:b/>
          <w:bCs/>
          <w:u w:val="single"/>
        </w:rPr>
        <w:t xml:space="preserve"> </w:t>
      </w:r>
    </w:p>
    <w:p w:rsidR="006E6DC8" w:rsidRDefault="002465F5" w:rsidP="006E6DC8">
      <w:pPr>
        <w:jc w:val="center"/>
      </w:pPr>
      <w:r w:rsidRPr="002465F5">
        <w:rPr>
          <w:noProof/>
        </w:rPr>
        <w:drawing>
          <wp:inline distT="0" distB="0" distL="0" distR="0" wp14:anchorId="6630D25D" wp14:editId="647EE280">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rsidR="00052D1E" w:rsidRDefault="003E5E63" w:rsidP="007F6187">
      <w:pPr>
        <w:jc w:val="both"/>
      </w:pPr>
      <w:r>
        <w:lastRenderedPageBreak/>
        <w:t xml:space="preserve">     </w:t>
      </w:r>
      <w:r w:rsidRPr="002921FB">
        <w:rPr>
          <w:b/>
          <w:bCs/>
        </w:rPr>
        <w:t xml:space="preserve">Deniz Kuvvetlerine bağlı gemiler ve TÜBİTAK MARMARA Gemisi, 24 derece boylamının doğusunda </w:t>
      </w:r>
      <w:r w:rsidR="009B6F45" w:rsidRPr="002921FB">
        <w:rPr>
          <w:b/>
          <w:bCs/>
        </w:rPr>
        <w:t xml:space="preserve">fiilen </w:t>
      </w:r>
      <w:r w:rsidRPr="002921FB">
        <w:rPr>
          <w:b/>
          <w:bCs/>
        </w:rPr>
        <w:t xml:space="preserve">araştırma yaparken, Deniz Kuvvetleri ve Genelkurmay Başkanlığı’nın, </w:t>
      </w:r>
      <w:r w:rsidR="009B6F45" w:rsidRPr="002921FB">
        <w:rPr>
          <w:b/>
          <w:bCs/>
        </w:rPr>
        <w:t xml:space="preserve">harita üzerinde </w:t>
      </w:r>
      <w:r w:rsidRPr="002921FB">
        <w:rPr>
          <w:b/>
          <w:bCs/>
        </w:rPr>
        <w:t>sınırı bir boylam doğuya çekerek 25 derece boylamının doğusundan geçirmesine bir anlam verilememiştir.</w:t>
      </w:r>
      <w:r w:rsidR="006E6DC8" w:rsidRPr="002921FB">
        <w:rPr>
          <w:b/>
          <w:bCs/>
        </w:rPr>
        <w:t xml:space="preserve"> </w:t>
      </w:r>
      <w:r w:rsidR="00FF027C">
        <w:t>2019 sınırının uygulanması durumunda Türkiye Ege Denizi’nde önemli ölçüde kıta sahanlığını kaybetmiş olacaktır.</w:t>
      </w:r>
    </w:p>
    <w:p w:rsidR="00161E4F" w:rsidRDefault="00F76E65" w:rsidP="003E5E63">
      <w:pPr>
        <w:jc w:val="center"/>
      </w:pPr>
      <w:r w:rsidRPr="00F76E65">
        <w:rPr>
          <w:noProof/>
        </w:rPr>
        <w:drawing>
          <wp:inline distT="0" distB="0" distL="0" distR="0" wp14:anchorId="36220E7F" wp14:editId="4405C439">
            <wp:extent cx="4286250" cy="32146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0590" cy="3217943"/>
                    </a:xfrm>
                    <a:prstGeom prst="rect">
                      <a:avLst/>
                    </a:prstGeom>
                  </pic:spPr>
                </pic:pic>
              </a:graphicData>
            </a:graphic>
          </wp:inline>
        </w:drawing>
      </w:r>
    </w:p>
    <w:p w:rsidR="009B6F45" w:rsidRPr="0053516D" w:rsidRDefault="009B6F45" w:rsidP="009B6F45">
      <w:pPr>
        <w:jc w:val="both"/>
        <w:rPr>
          <w:b/>
          <w:bCs/>
        </w:rPr>
      </w:pPr>
      <w:r w:rsidRPr="0053516D">
        <w:rPr>
          <w:b/>
          <w:bCs/>
        </w:rPr>
        <w:t>DENİZDEKİ MAVİ VATANIMIZ YAKLAŞIK OLARAK 550 BİN KİLOMETREKAREDİR !...</w:t>
      </w:r>
    </w:p>
    <w:p w:rsidR="007F6187" w:rsidRDefault="001F60AB" w:rsidP="007F6187">
      <w:pPr>
        <w:jc w:val="both"/>
        <w:rPr>
          <w:b/>
        </w:rPr>
      </w:pPr>
      <w:r>
        <w:t xml:space="preserve">     </w:t>
      </w:r>
      <w:r w:rsidR="004D0843">
        <w:t>Adalar (Ege) Denizi’ndeki Türk ve Yunan adaları teker teker işaretlenerek harita çalışması yapılmış ve her iki ülkenin esas hatları belirlenerek hatlar</w:t>
      </w:r>
      <w:r w:rsidR="00933FBD">
        <w:t xml:space="preserve">ın </w:t>
      </w:r>
      <w:r w:rsidR="004D0843">
        <w:t>orta</w:t>
      </w:r>
      <w:r w:rsidR="00933FBD">
        <w:t xml:space="preserve">sından </w:t>
      </w:r>
      <w:r w:rsidR="004D0843">
        <w:t xml:space="preserve">Türk Kıta Sahanlığı sınırı geçirilmiştir. 12 adayı kuşatan ve üç gruba ayıran Türk adaları, Yunanistan’ın anılan bölgedeki kıta sahanlığını son derece sınırlı hale getirmektedir.      </w:t>
      </w:r>
    </w:p>
    <w:p w:rsidR="001F60AB" w:rsidRDefault="001F60AB" w:rsidP="001F60AB">
      <w:pPr>
        <w:jc w:val="center"/>
        <w:rPr>
          <w:b/>
        </w:rPr>
      </w:pPr>
      <w:r w:rsidRPr="001F60AB">
        <w:rPr>
          <w:b/>
          <w:noProof/>
        </w:rPr>
        <w:drawing>
          <wp:inline distT="0" distB="0" distL="0" distR="0" wp14:anchorId="6A0064D5" wp14:editId="425FAC7F">
            <wp:extent cx="4203699" cy="31527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7300" cy="3162976"/>
                    </a:xfrm>
                    <a:prstGeom prst="rect">
                      <a:avLst/>
                    </a:prstGeom>
                  </pic:spPr>
                </pic:pic>
              </a:graphicData>
            </a:graphic>
          </wp:inline>
        </w:drawing>
      </w:r>
    </w:p>
    <w:p w:rsidR="00933FBD" w:rsidRDefault="004D0843" w:rsidP="007F6187">
      <w:pPr>
        <w:jc w:val="both"/>
        <w:rPr>
          <w:bCs/>
        </w:rPr>
      </w:pPr>
      <w:r>
        <w:rPr>
          <w:b/>
        </w:rPr>
        <w:lastRenderedPageBreak/>
        <w:t xml:space="preserve">     </w:t>
      </w:r>
      <w:r w:rsidRPr="004D0843">
        <w:rPr>
          <w:bCs/>
        </w:rPr>
        <w:t xml:space="preserve">13-14 </w:t>
      </w:r>
      <w:r>
        <w:rPr>
          <w:bCs/>
        </w:rPr>
        <w:t>Şubat 1914 Altı Büyük Devlet Kararı, 1923 Lozan Antlaşması</w:t>
      </w:r>
      <w:r w:rsidR="00933FBD">
        <w:rPr>
          <w:bCs/>
        </w:rPr>
        <w:t xml:space="preserve">, 1947 Paris Antlaşması, BM Deniz Hukuku Sözleşmesi ve hakkaniyet esaslarına göre hazırlanan Adalar (Ege) Denizi Kıta Sahanlığı Haritası, denizdeki </w:t>
      </w:r>
      <w:r w:rsidR="009E375F">
        <w:rPr>
          <w:bCs/>
        </w:rPr>
        <w:t>m</w:t>
      </w:r>
      <w:r w:rsidR="00933FBD">
        <w:rPr>
          <w:bCs/>
        </w:rPr>
        <w:t xml:space="preserve">avi </w:t>
      </w:r>
      <w:r w:rsidR="009E375F">
        <w:rPr>
          <w:bCs/>
        </w:rPr>
        <w:t>v</w:t>
      </w:r>
      <w:r w:rsidR="00933FBD">
        <w:rPr>
          <w:bCs/>
        </w:rPr>
        <w:t>atanımızın daha geniş bir alanı kapsadığını açıkça göstermektedir.</w:t>
      </w:r>
    </w:p>
    <w:p w:rsidR="00933FBD" w:rsidRDefault="00933FBD" w:rsidP="00933FBD">
      <w:pPr>
        <w:jc w:val="center"/>
        <w:rPr>
          <w:bCs/>
        </w:rPr>
      </w:pPr>
      <w:r w:rsidRPr="00933FBD">
        <w:rPr>
          <w:bCs/>
          <w:noProof/>
        </w:rPr>
        <w:drawing>
          <wp:inline distT="0" distB="0" distL="0" distR="0" wp14:anchorId="4030EBE2" wp14:editId="41216568">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rsidR="00EA581A" w:rsidRDefault="00933FBD" w:rsidP="0031460B">
      <w:pPr>
        <w:jc w:val="both"/>
        <w:rPr>
          <w:color w:val="000000"/>
        </w:rPr>
      </w:pPr>
      <w:r>
        <w:rPr>
          <w:bCs/>
        </w:rPr>
        <w:t xml:space="preserve">      </w:t>
      </w:r>
      <w:r w:rsidR="0031460B">
        <w:rPr>
          <w:bCs/>
        </w:rPr>
        <w:t xml:space="preserve">Türk Dışişleri Bakanlığı, Cumhurbaşkanlığı Kararnamesi ve TBMM onayı olmadan </w:t>
      </w:r>
      <w:r w:rsidR="0031460B" w:rsidRPr="004B14DB">
        <w:rPr>
          <w:b/>
        </w:rPr>
        <w:t>18 Mart 2019</w:t>
      </w:r>
      <w:r w:rsidR="0031460B">
        <w:rPr>
          <w:bCs/>
        </w:rPr>
        <w:t xml:space="preserve">’da Birleşmiş Milletlere gönderdiği resmi yazıda, Doğu Akdeniz Türk Kıta Sahanlığı batı sınırı olarak </w:t>
      </w:r>
      <w:r w:rsidR="00AD6492" w:rsidRPr="004B14DB">
        <w:rPr>
          <w:b/>
        </w:rPr>
        <w:t>28</w:t>
      </w:r>
      <w:r w:rsidR="00AD6492" w:rsidRPr="004B14DB">
        <w:rPr>
          <w:rFonts w:cstheme="minorHAnsi"/>
          <w:b/>
          <w:color w:val="000000"/>
        </w:rPr>
        <w:t>°</w:t>
      </w:r>
      <w:r w:rsidR="00AD6492" w:rsidRPr="004B14DB">
        <w:rPr>
          <w:b/>
          <w:color w:val="000000"/>
        </w:rPr>
        <w:t xml:space="preserve"> 00’  00’’</w:t>
      </w:r>
      <w:r w:rsidR="00AD6492">
        <w:rPr>
          <w:color w:val="000000"/>
        </w:rPr>
        <w:t xml:space="preserve"> </w:t>
      </w:r>
      <w:r w:rsidR="0031460B">
        <w:rPr>
          <w:bCs/>
        </w:rPr>
        <w:t xml:space="preserve">boylamını deklare etmişti. </w:t>
      </w:r>
      <w:r>
        <w:rPr>
          <w:bCs/>
        </w:rPr>
        <w:t xml:space="preserve">Dr. Cihat Yaycı’nın yayınladığı Doğu Akdeniz </w:t>
      </w:r>
      <w:r w:rsidR="00794582">
        <w:rPr>
          <w:bCs/>
        </w:rPr>
        <w:t xml:space="preserve">Türk Kıta Sahanlığı </w:t>
      </w:r>
      <w:r w:rsidR="0031460B">
        <w:rPr>
          <w:bCs/>
        </w:rPr>
        <w:t xml:space="preserve">haritasında batı sınırı olarak </w:t>
      </w:r>
      <w:r w:rsidR="0031460B" w:rsidRPr="004B14DB">
        <w:rPr>
          <w:b/>
        </w:rPr>
        <w:t>25</w:t>
      </w:r>
      <w:r w:rsidR="0031460B" w:rsidRPr="004B14DB">
        <w:rPr>
          <w:rFonts w:cstheme="minorHAnsi"/>
          <w:b/>
          <w:color w:val="000000"/>
        </w:rPr>
        <w:t>°</w:t>
      </w:r>
      <w:r w:rsidR="0031460B" w:rsidRPr="004B14DB">
        <w:rPr>
          <w:b/>
          <w:color w:val="000000"/>
        </w:rPr>
        <w:t xml:space="preserve"> 30’  00’’</w:t>
      </w:r>
      <w:r w:rsidR="0031460B">
        <w:rPr>
          <w:color w:val="000000"/>
        </w:rPr>
        <w:t xml:space="preserve"> boylamı esas alınmıştır. Yaycı’nın batı sınırı Dışişleri Bakanlığı’nın deklare ettiği sınıra nazaran daha olumlu olmakla birlikte Girit Adası</w:t>
      </w:r>
      <w:r w:rsidR="007E14E1">
        <w:rPr>
          <w:color w:val="000000"/>
        </w:rPr>
        <w:t xml:space="preserve"> üzerindeki</w:t>
      </w:r>
      <w:r w:rsidR="0031460B">
        <w:rPr>
          <w:color w:val="000000"/>
        </w:rPr>
        <w:t xml:space="preserve"> ve etrafındaki egemenlik haklarımızı yok saymıştır. Doğu Akdeniz’deki sınır</w:t>
      </w:r>
      <w:r w:rsidR="00FA158B">
        <w:rPr>
          <w:color w:val="000000"/>
        </w:rPr>
        <w:t>,</w:t>
      </w:r>
      <w:r w:rsidR="0031460B">
        <w:rPr>
          <w:color w:val="000000"/>
        </w:rPr>
        <w:t xml:space="preserve"> G</w:t>
      </w:r>
      <w:proofErr w:type="spellStart"/>
      <w:r w:rsidR="0031460B">
        <w:rPr>
          <w:color w:val="000000"/>
        </w:rPr>
        <w:t>avdos</w:t>
      </w:r>
      <w:proofErr w:type="spellEnd"/>
      <w:r w:rsidR="0031460B">
        <w:rPr>
          <w:color w:val="000000"/>
        </w:rPr>
        <w:t xml:space="preserve"> Adası’nın batısında </w:t>
      </w:r>
      <w:r w:rsidR="0031460B" w:rsidRPr="004B14DB">
        <w:rPr>
          <w:b/>
        </w:rPr>
        <w:t>23</w:t>
      </w:r>
      <w:r w:rsidR="0031460B" w:rsidRPr="004B14DB">
        <w:rPr>
          <w:rFonts w:cstheme="minorHAnsi"/>
          <w:b/>
          <w:color w:val="000000"/>
        </w:rPr>
        <w:t>°</w:t>
      </w:r>
      <w:r w:rsidR="0031460B" w:rsidRPr="004B14DB">
        <w:rPr>
          <w:b/>
          <w:color w:val="000000"/>
        </w:rPr>
        <w:t xml:space="preserve"> 20’  00’’</w:t>
      </w:r>
      <w:r w:rsidR="0031460B">
        <w:rPr>
          <w:color w:val="000000"/>
        </w:rPr>
        <w:t xml:space="preserve"> boylamından geçirilmelidir. </w:t>
      </w:r>
      <w:bookmarkStart w:id="0" w:name="_GoBack"/>
      <w:bookmarkEnd w:id="0"/>
    </w:p>
    <w:p w:rsidR="00794582" w:rsidRDefault="00EA581A" w:rsidP="007F6187">
      <w:pPr>
        <w:jc w:val="both"/>
        <w:rPr>
          <w:bCs/>
        </w:rPr>
      </w:pPr>
      <w:r>
        <w:rPr>
          <w:color w:val="000000"/>
        </w:rPr>
        <w:t xml:space="preserve">     </w:t>
      </w:r>
      <w:r w:rsidR="0031460B">
        <w:rPr>
          <w:color w:val="000000"/>
        </w:rPr>
        <w:t xml:space="preserve">Yaycı’nın </w:t>
      </w:r>
      <w:r>
        <w:rPr>
          <w:color w:val="000000"/>
        </w:rPr>
        <w:t xml:space="preserve">Doğu Akdeniz Türk Kıta Sahanlığı </w:t>
      </w:r>
      <w:r w:rsidR="00794582">
        <w:rPr>
          <w:bCs/>
        </w:rPr>
        <w:t>ve MEB Haritası yaklaşık olarak 75 bin kilometrekare eksiktir. Türkiye</w:t>
      </w:r>
      <w:r w:rsidR="00E038F6">
        <w:rPr>
          <w:bCs/>
        </w:rPr>
        <w:t>’nin</w:t>
      </w:r>
      <w:r w:rsidR="00794582">
        <w:rPr>
          <w:bCs/>
        </w:rPr>
        <w:t>, Adalar (Ege) Denizi ve Doğu Akdeniz’deki kıta sahanlığı</w:t>
      </w:r>
      <w:r w:rsidR="00416970">
        <w:rPr>
          <w:bCs/>
        </w:rPr>
        <w:t xml:space="preserve"> sınırlarını,</w:t>
      </w:r>
      <w:r w:rsidR="00794582">
        <w:rPr>
          <w:bCs/>
        </w:rPr>
        <w:t xml:space="preserve"> uluslararası antlaşmalar ve uluslararası hukuktan kaynaklanan haklarını kullanarak belirlemesi halinde deniz yetki alanlarımızın yani mavi vatanımızın yaklaşık olarak 550 bin kilometrekare olduğu görülecektir.</w:t>
      </w:r>
    </w:p>
    <w:p w:rsidR="00794582" w:rsidRPr="0055166B" w:rsidRDefault="00794582" w:rsidP="007F6187">
      <w:pPr>
        <w:jc w:val="both"/>
        <w:rPr>
          <w:b/>
        </w:rPr>
      </w:pPr>
      <w:r w:rsidRPr="0055166B">
        <w:rPr>
          <w:b/>
        </w:rPr>
        <w:t>EGE DENİZİ Mİ</w:t>
      </w:r>
      <w:r w:rsidR="00AB09AB">
        <w:rPr>
          <w:b/>
        </w:rPr>
        <w:t>,</w:t>
      </w:r>
      <w:r w:rsidRPr="0055166B">
        <w:rPr>
          <w:b/>
        </w:rPr>
        <w:t xml:space="preserve"> ADALAR DENİZİ Mİ?...</w:t>
      </w:r>
    </w:p>
    <w:p w:rsidR="0055166B" w:rsidRDefault="0055166B" w:rsidP="007F6187">
      <w:pPr>
        <w:jc w:val="both"/>
        <w:rPr>
          <w:bCs/>
        </w:rPr>
      </w:pPr>
      <w:r>
        <w:rPr>
          <w:bCs/>
        </w:rPr>
        <w:t xml:space="preserve">     Osmanlı Devleti döneminde</w:t>
      </w:r>
      <w:r w:rsidR="00D11179">
        <w:rPr>
          <w:bCs/>
        </w:rPr>
        <w:t>,</w:t>
      </w:r>
      <w:r>
        <w:rPr>
          <w:bCs/>
        </w:rPr>
        <w:t xml:space="preserve"> Mora ve </w:t>
      </w:r>
      <w:proofErr w:type="spellStart"/>
      <w:r>
        <w:rPr>
          <w:bCs/>
        </w:rPr>
        <w:t>Teselya’nın</w:t>
      </w:r>
      <w:proofErr w:type="spellEnd"/>
      <w:r>
        <w:rPr>
          <w:bCs/>
        </w:rPr>
        <w:t xml:space="preserve"> doğu kıyıları ile Anadolu</w:t>
      </w:r>
      <w:r w:rsidR="003272D8">
        <w:rPr>
          <w:bCs/>
        </w:rPr>
        <w:t>’nun batı</w:t>
      </w:r>
      <w:r>
        <w:rPr>
          <w:bCs/>
        </w:rPr>
        <w:t xml:space="preserve"> kıyıları arasında kalan deniz bölgesi </w:t>
      </w:r>
      <w:r w:rsidRPr="003E1886">
        <w:rPr>
          <w:b/>
        </w:rPr>
        <w:t>Adalar Denizi</w:t>
      </w:r>
      <w:r>
        <w:rPr>
          <w:bCs/>
        </w:rPr>
        <w:t xml:space="preserve"> olarak adlandırılmış ve bu ad 600 yıldan fazla bir süre kullanılmıştır.  Anılan deniz bölgesi </w:t>
      </w:r>
      <w:r w:rsidRPr="008019D3">
        <w:rPr>
          <w:b/>
        </w:rPr>
        <w:t>1809</w:t>
      </w:r>
      <w:r>
        <w:rPr>
          <w:bCs/>
        </w:rPr>
        <w:t xml:space="preserve"> Tarihli İngiliz haritasında </w:t>
      </w:r>
      <w:proofErr w:type="spellStart"/>
      <w:r w:rsidRPr="0055166B">
        <w:rPr>
          <w:b/>
        </w:rPr>
        <w:t>Archipelago</w:t>
      </w:r>
      <w:proofErr w:type="spellEnd"/>
      <w:r w:rsidRPr="0055166B">
        <w:rPr>
          <w:b/>
        </w:rPr>
        <w:t xml:space="preserve"> </w:t>
      </w:r>
      <w:proofErr w:type="spellStart"/>
      <w:r w:rsidRPr="0055166B">
        <w:rPr>
          <w:b/>
        </w:rPr>
        <w:t>Sea</w:t>
      </w:r>
      <w:proofErr w:type="spellEnd"/>
      <w:r>
        <w:rPr>
          <w:bCs/>
        </w:rPr>
        <w:t xml:space="preserve"> – </w:t>
      </w:r>
      <w:r w:rsidRPr="0068359C">
        <w:rPr>
          <w:b/>
        </w:rPr>
        <w:t>Adalar Denizi</w:t>
      </w:r>
      <w:r>
        <w:rPr>
          <w:bCs/>
        </w:rPr>
        <w:t xml:space="preserve">, </w:t>
      </w:r>
      <w:r w:rsidRPr="008019D3">
        <w:rPr>
          <w:b/>
        </w:rPr>
        <w:t>1863</w:t>
      </w:r>
      <w:r>
        <w:rPr>
          <w:bCs/>
        </w:rPr>
        <w:t xml:space="preserve"> tarihli Fransız haritasında </w:t>
      </w:r>
      <w:proofErr w:type="spellStart"/>
      <w:r w:rsidRPr="0055166B">
        <w:rPr>
          <w:b/>
        </w:rPr>
        <w:t>Archipel</w:t>
      </w:r>
      <w:proofErr w:type="spellEnd"/>
      <w:r>
        <w:rPr>
          <w:bCs/>
        </w:rPr>
        <w:t xml:space="preserve"> – </w:t>
      </w:r>
      <w:r w:rsidRPr="0068359C">
        <w:rPr>
          <w:b/>
        </w:rPr>
        <w:t xml:space="preserve">Adalar </w:t>
      </w:r>
      <w:r w:rsidR="00154B4B" w:rsidRPr="0068359C">
        <w:rPr>
          <w:b/>
        </w:rPr>
        <w:t>Denizi</w:t>
      </w:r>
      <w:r w:rsidR="00154B4B">
        <w:rPr>
          <w:bCs/>
        </w:rPr>
        <w:t xml:space="preserve"> </w:t>
      </w:r>
      <w:r>
        <w:rPr>
          <w:bCs/>
        </w:rPr>
        <w:t xml:space="preserve">olarak tanımlanmıştır. Yunanistan’ın dayatması ile batılı ülkeler </w:t>
      </w:r>
      <w:r w:rsidRPr="008019D3">
        <w:rPr>
          <w:b/>
        </w:rPr>
        <w:t>1940</w:t>
      </w:r>
      <w:r>
        <w:rPr>
          <w:bCs/>
        </w:rPr>
        <w:t xml:space="preserve"> yılı ve sonrasında yayınladıkları haritalarda Adalar Denizi yerine Ege Denizi adını kullanmaya başlamıştır. </w:t>
      </w:r>
    </w:p>
    <w:p w:rsidR="00F6383C" w:rsidRDefault="00F6383C" w:rsidP="00F6383C">
      <w:pPr>
        <w:jc w:val="center"/>
        <w:rPr>
          <w:bCs/>
        </w:rPr>
      </w:pPr>
      <w:r w:rsidRPr="00F6383C">
        <w:rPr>
          <w:bCs/>
          <w:noProof/>
        </w:rPr>
        <w:lastRenderedPageBreak/>
        <w:drawing>
          <wp:inline distT="0" distB="0" distL="0" distR="0" wp14:anchorId="722BA763" wp14:editId="0DC45D87">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rsidR="009E4802" w:rsidRDefault="0055166B" w:rsidP="007F6187">
      <w:pPr>
        <w:jc w:val="both"/>
        <w:rPr>
          <w:bCs/>
        </w:rPr>
      </w:pPr>
      <w:r>
        <w:rPr>
          <w:bCs/>
        </w:rPr>
        <w:t xml:space="preserve">     </w:t>
      </w:r>
      <w:r w:rsidRPr="000666DE">
        <w:rPr>
          <w:b/>
        </w:rPr>
        <w:t>Ankara Dil ve Coğrafya Fakültesi</w:t>
      </w:r>
      <w:r>
        <w:rPr>
          <w:bCs/>
        </w:rPr>
        <w:t xml:space="preserve">’nde, </w:t>
      </w:r>
      <w:r w:rsidRPr="00F827DC">
        <w:rPr>
          <w:b/>
        </w:rPr>
        <w:t xml:space="preserve">1941 </w:t>
      </w:r>
      <w:r>
        <w:rPr>
          <w:bCs/>
        </w:rPr>
        <w:t xml:space="preserve">yılında icra edilen </w:t>
      </w:r>
      <w:r w:rsidRPr="005821AF">
        <w:rPr>
          <w:b/>
        </w:rPr>
        <w:t xml:space="preserve">Birinci Coğrafya </w:t>
      </w:r>
      <w:r w:rsidR="009E4802" w:rsidRPr="005821AF">
        <w:rPr>
          <w:b/>
        </w:rPr>
        <w:t>Kurultay</w:t>
      </w:r>
      <w:r w:rsidR="009E4802">
        <w:rPr>
          <w:bCs/>
        </w:rPr>
        <w:t xml:space="preserve">ı’nda Ege Denizi adının kullanılması kararlaştırılmıştır. </w:t>
      </w:r>
      <w:r w:rsidR="009E4802" w:rsidRPr="000666DE">
        <w:rPr>
          <w:b/>
        </w:rPr>
        <w:t>Türk Tarih Kurumu</w:t>
      </w:r>
      <w:r w:rsidR="009E4802">
        <w:rPr>
          <w:bCs/>
        </w:rPr>
        <w:t xml:space="preserve"> ve </w:t>
      </w:r>
      <w:r w:rsidR="009E4802" w:rsidRPr="000666DE">
        <w:rPr>
          <w:b/>
        </w:rPr>
        <w:t>Dokuz Eylül Üniversitesi</w:t>
      </w:r>
      <w:r w:rsidR="009E4802">
        <w:rPr>
          <w:bCs/>
        </w:rPr>
        <w:t xml:space="preserve"> tarafından </w:t>
      </w:r>
      <w:r w:rsidR="009E4802" w:rsidRPr="00F827DC">
        <w:rPr>
          <w:b/>
        </w:rPr>
        <w:t>2017</w:t>
      </w:r>
      <w:r w:rsidR="009E4802">
        <w:rPr>
          <w:bCs/>
        </w:rPr>
        <w:t xml:space="preserve">’de ortaklaşa düzenlenen </w:t>
      </w:r>
      <w:r w:rsidR="009E4802" w:rsidRPr="005821AF">
        <w:rPr>
          <w:b/>
        </w:rPr>
        <w:t>Uluslararası Ege Adaları Sempozyumu</w:t>
      </w:r>
      <w:r w:rsidR="009E4802">
        <w:rPr>
          <w:bCs/>
        </w:rPr>
        <w:t xml:space="preserve">’nda ise Ege yerine Adalar Denizi </w:t>
      </w:r>
      <w:r w:rsidR="00AC3B0D">
        <w:rPr>
          <w:bCs/>
        </w:rPr>
        <w:t xml:space="preserve">adının </w:t>
      </w:r>
      <w:r w:rsidR="009E4802">
        <w:rPr>
          <w:bCs/>
        </w:rPr>
        <w:t xml:space="preserve">kullanılması kararlaştırılmıştır. </w:t>
      </w:r>
      <w:r w:rsidR="009E4802" w:rsidRPr="00F827DC">
        <w:rPr>
          <w:b/>
          <w:u w:val="single"/>
        </w:rPr>
        <w:t>Yaklaşık olarak 80 yıldır süregelen Yunan dayatması Ege Denizi adı yerine 600 yıldan fazla kullanılan Adalar Denizi adı kullanılma</w:t>
      </w:r>
      <w:r w:rsidR="00F6383C" w:rsidRPr="00F827DC">
        <w:rPr>
          <w:b/>
          <w:u w:val="single"/>
        </w:rPr>
        <w:t>lıdır.</w:t>
      </w:r>
    </w:p>
    <w:p w:rsidR="008553CB" w:rsidRDefault="008553CB" w:rsidP="008553CB">
      <w:pPr>
        <w:jc w:val="both"/>
        <w:rPr>
          <w:b/>
          <w:bCs/>
        </w:rPr>
      </w:pPr>
      <w:r>
        <w:rPr>
          <w:b/>
          <w:bCs/>
        </w:rPr>
        <w:t>GÖKYÜZÜNDEKİ</w:t>
      </w:r>
      <w:r w:rsidRPr="0053516D">
        <w:rPr>
          <w:b/>
          <w:bCs/>
        </w:rPr>
        <w:t xml:space="preserve"> MAVİ VATANIMIZ YAKLAŞIK OLARAK </w:t>
      </w:r>
      <w:r>
        <w:rPr>
          <w:b/>
          <w:bCs/>
        </w:rPr>
        <w:t>1,3 MİLYON</w:t>
      </w:r>
      <w:r w:rsidRPr="0053516D">
        <w:rPr>
          <w:b/>
          <w:bCs/>
        </w:rPr>
        <w:t xml:space="preserve"> KİLOMETREKAREDİR !...</w:t>
      </w:r>
    </w:p>
    <w:p w:rsidR="008553CB" w:rsidRDefault="00E94DA0" w:rsidP="007F6187">
      <w:pPr>
        <w:jc w:val="both"/>
      </w:pPr>
      <w:r w:rsidRPr="00E94DA0">
        <w:t xml:space="preserve">     Denizdeki </w:t>
      </w:r>
      <w:r>
        <w:t>m</w:t>
      </w:r>
      <w:r w:rsidRPr="00E94DA0">
        <w:t xml:space="preserve">avi </w:t>
      </w:r>
      <w:r>
        <w:t>v</w:t>
      </w:r>
      <w:r w:rsidRPr="00E94DA0">
        <w:t xml:space="preserve">atanımız sürekli olarak gündemde tutulurken gökyüzündeki </w:t>
      </w:r>
      <w:r>
        <w:t>m</w:t>
      </w:r>
      <w:r w:rsidRPr="00E94DA0">
        <w:t xml:space="preserve">avi </w:t>
      </w:r>
      <w:r>
        <w:t>v</w:t>
      </w:r>
      <w:r w:rsidRPr="00E94DA0">
        <w:t>atanımız</w:t>
      </w:r>
      <w:r>
        <w:t xml:space="preserve"> göz ardı edilmektedir. Gökyüzündeki mavi vatanımız</w:t>
      </w:r>
      <w:r w:rsidR="005157B0">
        <w:t>;</w:t>
      </w:r>
      <w:r>
        <w:t xml:space="preserve"> Anadolu ve Trakya Yarımadası</w:t>
      </w:r>
      <w:r w:rsidR="00BE1154">
        <w:t xml:space="preserve"> ile</w:t>
      </w:r>
      <w:r>
        <w:t xml:space="preserve"> Marmara Denizi</w:t>
      </w:r>
      <w:r w:rsidR="00BE1154">
        <w:t xml:space="preserve"> üzerindeki hava sahasına ilave olarak</w:t>
      </w:r>
      <w:r>
        <w:t xml:space="preserve"> Karadeniz ve Akdeniz’de 12 millik karasuları, Adalar</w:t>
      </w:r>
      <w:r w:rsidR="00F329FA">
        <w:t>(Ege)</w:t>
      </w:r>
      <w:r>
        <w:t xml:space="preserve"> Denizi’nde 6 millik karasularının üzerinde bulunan hava sahası olup yaklaşık olarak 1,3 milyon kilometrekaredir.</w:t>
      </w:r>
    </w:p>
    <w:p w:rsidR="005A625A" w:rsidRDefault="005A625A" w:rsidP="007F6187">
      <w:pPr>
        <w:jc w:val="both"/>
        <w:rPr>
          <w:bCs/>
        </w:rPr>
      </w:pPr>
      <w:r>
        <w:t xml:space="preserve">     Denizdeki mavi vatanımıza sahip çıkarken gökyüzündeki mavi vatanımız Türk Hava Sahasına da sahip çıkılmalıdır.</w:t>
      </w:r>
    </w:p>
    <w:p w:rsidR="009E4802" w:rsidRPr="009E4802" w:rsidRDefault="009E4802" w:rsidP="007F6187">
      <w:pPr>
        <w:jc w:val="both"/>
        <w:rPr>
          <w:b/>
        </w:rPr>
      </w:pPr>
      <w:r w:rsidRPr="009E4802">
        <w:rPr>
          <w:b/>
        </w:rPr>
        <w:t>Ümit YALIM</w:t>
      </w:r>
    </w:p>
    <w:p w:rsidR="009E4802" w:rsidRPr="009E4802" w:rsidRDefault="009E4802" w:rsidP="007F6187">
      <w:pPr>
        <w:jc w:val="both"/>
        <w:rPr>
          <w:b/>
        </w:rPr>
      </w:pPr>
      <w:r w:rsidRPr="009E4802">
        <w:rPr>
          <w:b/>
        </w:rPr>
        <w:t>Milli Savunma Bakanlığı eski Genel Sekreteri</w:t>
      </w:r>
    </w:p>
    <w:sectPr w:rsidR="009E4802" w:rsidRPr="009E4802">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7B0" w:rsidRDefault="00F637B0" w:rsidP="00B15FAC">
      <w:pPr>
        <w:spacing w:after="0" w:line="240" w:lineRule="auto"/>
      </w:pPr>
      <w:r>
        <w:separator/>
      </w:r>
    </w:p>
  </w:endnote>
  <w:endnote w:type="continuationSeparator" w:id="0">
    <w:p w:rsidR="00F637B0" w:rsidRDefault="00F637B0" w:rsidP="00B1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653318"/>
      <w:docPartObj>
        <w:docPartGallery w:val="Page Numbers (Bottom of Page)"/>
        <w:docPartUnique/>
      </w:docPartObj>
    </w:sdtPr>
    <w:sdtEndPr/>
    <w:sdtContent>
      <w:p w:rsidR="00B15FAC" w:rsidRDefault="00B15FAC">
        <w:pPr>
          <w:pStyle w:val="Footer"/>
          <w:jc w:val="center"/>
        </w:pPr>
        <w:r>
          <w:fldChar w:fldCharType="begin"/>
        </w:r>
        <w:r>
          <w:instrText>PAGE   \* MERGEFORMAT</w:instrText>
        </w:r>
        <w:r>
          <w:fldChar w:fldCharType="separate"/>
        </w:r>
        <w:r w:rsidR="007F6187">
          <w:rPr>
            <w:noProof/>
          </w:rPr>
          <w:t>1</w:t>
        </w:r>
        <w:r>
          <w:fldChar w:fldCharType="end"/>
        </w:r>
      </w:p>
    </w:sdtContent>
  </w:sdt>
  <w:p w:rsidR="00B15FAC" w:rsidRDefault="00B15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7B0" w:rsidRDefault="00F637B0" w:rsidP="00B15FAC">
      <w:pPr>
        <w:spacing w:after="0" w:line="240" w:lineRule="auto"/>
      </w:pPr>
      <w:r>
        <w:separator/>
      </w:r>
    </w:p>
  </w:footnote>
  <w:footnote w:type="continuationSeparator" w:id="0">
    <w:p w:rsidR="00F637B0" w:rsidRDefault="00F637B0" w:rsidP="00B15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505"/>
    <w:multiLevelType w:val="hybridMultilevel"/>
    <w:tmpl w:val="74FEA022"/>
    <w:lvl w:ilvl="0" w:tplc="DD7C80CC">
      <w:start w:val="1"/>
      <w:numFmt w:val="bullet"/>
      <w:lvlText w:val="•"/>
      <w:lvlJc w:val="left"/>
      <w:pPr>
        <w:tabs>
          <w:tab w:val="num" w:pos="720"/>
        </w:tabs>
        <w:ind w:left="720" w:hanging="360"/>
      </w:pPr>
      <w:rPr>
        <w:rFonts w:ascii="Arial" w:hAnsi="Arial" w:hint="default"/>
      </w:rPr>
    </w:lvl>
    <w:lvl w:ilvl="1" w:tplc="ADB817F0" w:tentative="1">
      <w:start w:val="1"/>
      <w:numFmt w:val="bullet"/>
      <w:lvlText w:val="•"/>
      <w:lvlJc w:val="left"/>
      <w:pPr>
        <w:tabs>
          <w:tab w:val="num" w:pos="1440"/>
        </w:tabs>
        <w:ind w:left="1440" w:hanging="360"/>
      </w:pPr>
      <w:rPr>
        <w:rFonts w:ascii="Arial" w:hAnsi="Arial" w:hint="default"/>
      </w:rPr>
    </w:lvl>
    <w:lvl w:ilvl="2" w:tplc="B66CCF7E" w:tentative="1">
      <w:start w:val="1"/>
      <w:numFmt w:val="bullet"/>
      <w:lvlText w:val="•"/>
      <w:lvlJc w:val="left"/>
      <w:pPr>
        <w:tabs>
          <w:tab w:val="num" w:pos="2160"/>
        </w:tabs>
        <w:ind w:left="2160" w:hanging="360"/>
      </w:pPr>
      <w:rPr>
        <w:rFonts w:ascii="Arial" w:hAnsi="Arial" w:hint="default"/>
      </w:rPr>
    </w:lvl>
    <w:lvl w:ilvl="3" w:tplc="A2E261B6" w:tentative="1">
      <w:start w:val="1"/>
      <w:numFmt w:val="bullet"/>
      <w:lvlText w:val="•"/>
      <w:lvlJc w:val="left"/>
      <w:pPr>
        <w:tabs>
          <w:tab w:val="num" w:pos="2880"/>
        </w:tabs>
        <w:ind w:left="2880" w:hanging="360"/>
      </w:pPr>
      <w:rPr>
        <w:rFonts w:ascii="Arial" w:hAnsi="Arial" w:hint="default"/>
      </w:rPr>
    </w:lvl>
    <w:lvl w:ilvl="4" w:tplc="ED2AF89A" w:tentative="1">
      <w:start w:val="1"/>
      <w:numFmt w:val="bullet"/>
      <w:lvlText w:val="•"/>
      <w:lvlJc w:val="left"/>
      <w:pPr>
        <w:tabs>
          <w:tab w:val="num" w:pos="3600"/>
        </w:tabs>
        <w:ind w:left="3600" w:hanging="360"/>
      </w:pPr>
      <w:rPr>
        <w:rFonts w:ascii="Arial" w:hAnsi="Arial" w:hint="default"/>
      </w:rPr>
    </w:lvl>
    <w:lvl w:ilvl="5" w:tplc="B66CEF5C" w:tentative="1">
      <w:start w:val="1"/>
      <w:numFmt w:val="bullet"/>
      <w:lvlText w:val="•"/>
      <w:lvlJc w:val="left"/>
      <w:pPr>
        <w:tabs>
          <w:tab w:val="num" w:pos="4320"/>
        </w:tabs>
        <w:ind w:left="4320" w:hanging="360"/>
      </w:pPr>
      <w:rPr>
        <w:rFonts w:ascii="Arial" w:hAnsi="Arial" w:hint="default"/>
      </w:rPr>
    </w:lvl>
    <w:lvl w:ilvl="6" w:tplc="66DC8408" w:tentative="1">
      <w:start w:val="1"/>
      <w:numFmt w:val="bullet"/>
      <w:lvlText w:val="•"/>
      <w:lvlJc w:val="left"/>
      <w:pPr>
        <w:tabs>
          <w:tab w:val="num" w:pos="5040"/>
        </w:tabs>
        <w:ind w:left="5040" w:hanging="360"/>
      </w:pPr>
      <w:rPr>
        <w:rFonts w:ascii="Arial" w:hAnsi="Arial" w:hint="default"/>
      </w:rPr>
    </w:lvl>
    <w:lvl w:ilvl="7" w:tplc="B4E0A914" w:tentative="1">
      <w:start w:val="1"/>
      <w:numFmt w:val="bullet"/>
      <w:lvlText w:val="•"/>
      <w:lvlJc w:val="left"/>
      <w:pPr>
        <w:tabs>
          <w:tab w:val="num" w:pos="5760"/>
        </w:tabs>
        <w:ind w:left="5760" w:hanging="360"/>
      </w:pPr>
      <w:rPr>
        <w:rFonts w:ascii="Arial" w:hAnsi="Arial" w:hint="default"/>
      </w:rPr>
    </w:lvl>
    <w:lvl w:ilvl="8" w:tplc="186AE0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59791C"/>
    <w:multiLevelType w:val="hybridMultilevel"/>
    <w:tmpl w:val="0EBA5E68"/>
    <w:lvl w:ilvl="0" w:tplc="3D1002E8">
      <w:start w:val="1"/>
      <w:numFmt w:val="bullet"/>
      <w:lvlText w:val="•"/>
      <w:lvlJc w:val="left"/>
      <w:pPr>
        <w:tabs>
          <w:tab w:val="num" w:pos="720"/>
        </w:tabs>
        <w:ind w:left="720" w:hanging="360"/>
      </w:pPr>
      <w:rPr>
        <w:rFonts w:ascii="Arial" w:hAnsi="Arial" w:hint="default"/>
      </w:rPr>
    </w:lvl>
    <w:lvl w:ilvl="1" w:tplc="BB5069D2" w:tentative="1">
      <w:start w:val="1"/>
      <w:numFmt w:val="bullet"/>
      <w:lvlText w:val="•"/>
      <w:lvlJc w:val="left"/>
      <w:pPr>
        <w:tabs>
          <w:tab w:val="num" w:pos="1440"/>
        </w:tabs>
        <w:ind w:left="1440" w:hanging="360"/>
      </w:pPr>
      <w:rPr>
        <w:rFonts w:ascii="Arial" w:hAnsi="Arial" w:hint="default"/>
      </w:rPr>
    </w:lvl>
    <w:lvl w:ilvl="2" w:tplc="19D2D620" w:tentative="1">
      <w:start w:val="1"/>
      <w:numFmt w:val="bullet"/>
      <w:lvlText w:val="•"/>
      <w:lvlJc w:val="left"/>
      <w:pPr>
        <w:tabs>
          <w:tab w:val="num" w:pos="2160"/>
        </w:tabs>
        <w:ind w:left="2160" w:hanging="360"/>
      </w:pPr>
      <w:rPr>
        <w:rFonts w:ascii="Arial" w:hAnsi="Arial" w:hint="default"/>
      </w:rPr>
    </w:lvl>
    <w:lvl w:ilvl="3" w:tplc="007265FE" w:tentative="1">
      <w:start w:val="1"/>
      <w:numFmt w:val="bullet"/>
      <w:lvlText w:val="•"/>
      <w:lvlJc w:val="left"/>
      <w:pPr>
        <w:tabs>
          <w:tab w:val="num" w:pos="2880"/>
        </w:tabs>
        <w:ind w:left="2880" w:hanging="360"/>
      </w:pPr>
      <w:rPr>
        <w:rFonts w:ascii="Arial" w:hAnsi="Arial" w:hint="default"/>
      </w:rPr>
    </w:lvl>
    <w:lvl w:ilvl="4" w:tplc="4D78798E" w:tentative="1">
      <w:start w:val="1"/>
      <w:numFmt w:val="bullet"/>
      <w:lvlText w:val="•"/>
      <w:lvlJc w:val="left"/>
      <w:pPr>
        <w:tabs>
          <w:tab w:val="num" w:pos="3600"/>
        </w:tabs>
        <w:ind w:left="3600" w:hanging="360"/>
      </w:pPr>
      <w:rPr>
        <w:rFonts w:ascii="Arial" w:hAnsi="Arial" w:hint="default"/>
      </w:rPr>
    </w:lvl>
    <w:lvl w:ilvl="5" w:tplc="B02E8066" w:tentative="1">
      <w:start w:val="1"/>
      <w:numFmt w:val="bullet"/>
      <w:lvlText w:val="•"/>
      <w:lvlJc w:val="left"/>
      <w:pPr>
        <w:tabs>
          <w:tab w:val="num" w:pos="4320"/>
        </w:tabs>
        <w:ind w:left="4320" w:hanging="360"/>
      </w:pPr>
      <w:rPr>
        <w:rFonts w:ascii="Arial" w:hAnsi="Arial" w:hint="default"/>
      </w:rPr>
    </w:lvl>
    <w:lvl w:ilvl="6" w:tplc="3B440064" w:tentative="1">
      <w:start w:val="1"/>
      <w:numFmt w:val="bullet"/>
      <w:lvlText w:val="•"/>
      <w:lvlJc w:val="left"/>
      <w:pPr>
        <w:tabs>
          <w:tab w:val="num" w:pos="5040"/>
        </w:tabs>
        <w:ind w:left="5040" w:hanging="360"/>
      </w:pPr>
      <w:rPr>
        <w:rFonts w:ascii="Arial" w:hAnsi="Arial" w:hint="default"/>
      </w:rPr>
    </w:lvl>
    <w:lvl w:ilvl="7" w:tplc="69CE8418" w:tentative="1">
      <w:start w:val="1"/>
      <w:numFmt w:val="bullet"/>
      <w:lvlText w:val="•"/>
      <w:lvlJc w:val="left"/>
      <w:pPr>
        <w:tabs>
          <w:tab w:val="num" w:pos="5760"/>
        </w:tabs>
        <w:ind w:left="5760" w:hanging="360"/>
      </w:pPr>
      <w:rPr>
        <w:rFonts w:ascii="Arial" w:hAnsi="Arial" w:hint="default"/>
      </w:rPr>
    </w:lvl>
    <w:lvl w:ilvl="8" w:tplc="F9A827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9850C3"/>
    <w:multiLevelType w:val="hybridMultilevel"/>
    <w:tmpl w:val="F8AC85B0"/>
    <w:lvl w:ilvl="0" w:tplc="2D384402">
      <w:start w:val="1"/>
      <w:numFmt w:val="bullet"/>
      <w:lvlText w:val="•"/>
      <w:lvlJc w:val="left"/>
      <w:pPr>
        <w:tabs>
          <w:tab w:val="num" w:pos="720"/>
        </w:tabs>
        <w:ind w:left="720" w:hanging="360"/>
      </w:pPr>
      <w:rPr>
        <w:rFonts w:ascii="Arial" w:hAnsi="Arial" w:hint="default"/>
      </w:rPr>
    </w:lvl>
    <w:lvl w:ilvl="1" w:tplc="7E8656B0" w:tentative="1">
      <w:start w:val="1"/>
      <w:numFmt w:val="bullet"/>
      <w:lvlText w:val="•"/>
      <w:lvlJc w:val="left"/>
      <w:pPr>
        <w:tabs>
          <w:tab w:val="num" w:pos="1440"/>
        </w:tabs>
        <w:ind w:left="1440" w:hanging="360"/>
      </w:pPr>
      <w:rPr>
        <w:rFonts w:ascii="Arial" w:hAnsi="Arial" w:hint="default"/>
      </w:rPr>
    </w:lvl>
    <w:lvl w:ilvl="2" w:tplc="26FCFAB8" w:tentative="1">
      <w:start w:val="1"/>
      <w:numFmt w:val="bullet"/>
      <w:lvlText w:val="•"/>
      <w:lvlJc w:val="left"/>
      <w:pPr>
        <w:tabs>
          <w:tab w:val="num" w:pos="2160"/>
        </w:tabs>
        <w:ind w:left="2160" w:hanging="360"/>
      </w:pPr>
      <w:rPr>
        <w:rFonts w:ascii="Arial" w:hAnsi="Arial" w:hint="default"/>
      </w:rPr>
    </w:lvl>
    <w:lvl w:ilvl="3" w:tplc="26B2D818" w:tentative="1">
      <w:start w:val="1"/>
      <w:numFmt w:val="bullet"/>
      <w:lvlText w:val="•"/>
      <w:lvlJc w:val="left"/>
      <w:pPr>
        <w:tabs>
          <w:tab w:val="num" w:pos="2880"/>
        </w:tabs>
        <w:ind w:left="2880" w:hanging="360"/>
      </w:pPr>
      <w:rPr>
        <w:rFonts w:ascii="Arial" w:hAnsi="Arial" w:hint="default"/>
      </w:rPr>
    </w:lvl>
    <w:lvl w:ilvl="4" w:tplc="9D0ECC36" w:tentative="1">
      <w:start w:val="1"/>
      <w:numFmt w:val="bullet"/>
      <w:lvlText w:val="•"/>
      <w:lvlJc w:val="left"/>
      <w:pPr>
        <w:tabs>
          <w:tab w:val="num" w:pos="3600"/>
        </w:tabs>
        <w:ind w:left="3600" w:hanging="360"/>
      </w:pPr>
      <w:rPr>
        <w:rFonts w:ascii="Arial" w:hAnsi="Arial" w:hint="default"/>
      </w:rPr>
    </w:lvl>
    <w:lvl w:ilvl="5" w:tplc="E3DAAD5E" w:tentative="1">
      <w:start w:val="1"/>
      <w:numFmt w:val="bullet"/>
      <w:lvlText w:val="•"/>
      <w:lvlJc w:val="left"/>
      <w:pPr>
        <w:tabs>
          <w:tab w:val="num" w:pos="4320"/>
        </w:tabs>
        <w:ind w:left="4320" w:hanging="360"/>
      </w:pPr>
      <w:rPr>
        <w:rFonts w:ascii="Arial" w:hAnsi="Arial" w:hint="default"/>
      </w:rPr>
    </w:lvl>
    <w:lvl w:ilvl="6" w:tplc="65A4A4FE" w:tentative="1">
      <w:start w:val="1"/>
      <w:numFmt w:val="bullet"/>
      <w:lvlText w:val="•"/>
      <w:lvlJc w:val="left"/>
      <w:pPr>
        <w:tabs>
          <w:tab w:val="num" w:pos="5040"/>
        </w:tabs>
        <w:ind w:left="5040" w:hanging="360"/>
      </w:pPr>
      <w:rPr>
        <w:rFonts w:ascii="Arial" w:hAnsi="Arial" w:hint="default"/>
      </w:rPr>
    </w:lvl>
    <w:lvl w:ilvl="7" w:tplc="3ADA0C60" w:tentative="1">
      <w:start w:val="1"/>
      <w:numFmt w:val="bullet"/>
      <w:lvlText w:val="•"/>
      <w:lvlJc w:val="left"/>
      <w:pPr>
        <w:tabs>
          <w:tab w:val="num" w:pos="5760"/>
        </w:tabs>
        <w:ind w:left="5760" w:hanging="360"/>
      </w:pPr>
      <w:rPr>
        <w:rFonts w:ascii="Arial" w:hAnsi="Arial" w:hint="default"/>
      </w:rPr>
    </w:lvl>
    <w:lvl w:ilvl="8" w:tplc="2D2C4F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2441D83"/>
    <w:multiLevelType w:val="hybridMultilevel"/>
    <w:tmpl w:val="E1504246"/>
    <w:lvl w:ilvl="0" w:tplc="F8BAB0E8">
      <w:start w:val="1"/>
      <w:numFmt w:val="bullet"/>
      <w:lvlText w:val="•"/>
      <w:lvlJc w:val="left"/>
      <w:pPr>
        <w:tabs>
          <w:tab w:val="num" w:pos="720"/>
        </w:tabs>
        <w:ind w:left="720" w:hanging="360"/>
      </w:pPr>
      <w:rPr>
        <w:rFonts w:ascii="Arial" w:hAnsi="Arial" w:hint="default"/>
      </w:rPr>
    </w:lvl>
    <w:lvl w:ilvl="1" w:tplc="5A0E4A9A" w:tentative="1">
      <w:start w:val="1"/>
      <w:numFmt w:val="bullet"/>
      <w:lvlText w:val="•"/>
      <w:lvlJc w:val="left"/>
      <w:pPr>
        <w:tabs>
          <w:tab w:val="num" w:pos="1440"/>
        </w:tabs>
        <w:ind w:left="1440" w:hanging="360"/>
      </w:pPr>
      <w:rPr>
        <w:rFonts w:ascii="Arial" w:hAnsi="Arial" w:hint="default"/>
      </w:rPr>
    </w:lvl>
    <w:lvl w:ilvl="2" w:tplc="58DEC36A" w:tentative="1">
      <w:start w:val="1"/>
      <w:numFmt w:val="bullet"/>
      <w:lvlText w:val="•"/>
      <w:lvlJc w:val="left"/>
      <w:pPr>
        <w:tabs>
          <w:tab w:val="num" w:pos="2160"/>
        </w:tabs>
        <w:ind w:left="2160" w:hanging="360"/>
      </w:pPr>
      <w:rPr>
        <w:rFonts w:ascii="Arial" w:hAnsi="Arial" w:hint="default"/>
      </w:rPr>
    </w:lvl>
    <w:lvl w:ilvl="3" w:tplc="63B0B178" w:tentative="1">
      <w:start w:val="1"/>
      <w:numFmt w:val="bullet"/>
      <w:lvlText w:val="•"/>
      <w:lvlJc w:val="left"/>
      <w:pPr>
        <w:tabs>
          <w:tab w:val="num" w:pos="2880"/>
        </w:tabs>
        <w:ind w:left="2880" w:hanging="360"/>
      </w:pPr>
      <w:rPr>
        <w:rFonts w:ascii="Arial" w:hAnsi="Arial" w:hint="default"/>
      </w:rPr>
    </w:lvl>
    <w:lvl w:ilvl="4" w:tplc="EE4CA252" w:tentative="1">
      <w:start w:val="1"/>
      <w:numFmt w:val="bullet"/>
      <w:lvlText w:val="•"/>
      <w:lvlJc w:val="left"/>
      <w:pPr>
        <w:tabs>
          <w:tab w:val="num" w:pos="3600"/>
        </w:tabs>
        <w:ind w:left="3600" w:hanging="360"/>
      </w:pPr>
      <w:rPr>
        <w:rFonts w:ascii="Arial" w:hAnsi="Arial" w:hint="default"/>
      </w:rPr>
    </w:lvl>
    <w:lvl w:ilvl="5" w:tplc="9140D782" w:tentative="1">
      <w:start w:val="1"/>
      <w:numFmt w:val="bullet"/>
      <w:lvlText w:val="•"/>
      <w:lvlJc w:val="left"/>
      <w:pPr>
        <w:tabs>
          <w:tab w:val="num" w:pos="4320"/>
        </w:tabs>
        <w:ind w:left="4320" w:hanging="360"/>
      </w:pPr>
      <w:rPr>
        <w:rFonts w:ascii="Arial" w:hAnsi="Arial" w:hint="default"/>
      </w:rPr>
    </w:lvl>
    <w:lvl w:ilvl="6" w:tplc="21D2D550" w:tentative="1">
      <w:start w:val="1"/>
      <w:numFmt w:val="bullet"/>
      <w:lvlText w:val="•"/>
      <w:lvlJc w:val="left"/>
      <w:pPr>
        <w:tabs>
          <w:tab w:val="num" w:pos="5040"/>
        </w:tabs>
        <w:ind w:left="5040" w:hanging="360"/>
      </w:pPr>
      <w:rPr>
        <w:rFonts w:ascii="Arial" w:hAnsi="Arial" w:hint="default"/>
      </w:rPr>
    </w:lvl>
    <w:lvl w:ilvl="7" w:tplc="D59EC6E0" w:tentative="1">
      <w:start w:val="1"/>
      <w:numFmt w:val="bullet"/>
      <w:lvlText w:val="•"/>
      <w:lvlJc w:val="left"/>
      <w:pPr>
        <w:tabs>
          <w:tab w:val="num" w:pos="5760"/>
        </w:tabs>
        <w:ind w:left="5760" w:hanging="360"/>
      </w:pPr>
      <w:rPr>
        <w:rFonts w:ascii="Arial" w:hAnsi="Arial" w:hint="default"/>
      </w:rPr>
    </w:lvl>
    <w:lvl w:ilvl="8" w:tplc="0EF29E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E212B22"/>
    <w:multiLevelType w:val="hybridMultilevel"/>
    <w:tmpl w:val="CFF43EE2"/>
    <w:lvl w:ilvl="0" w:tplc="B7C237C2">
      <w:start w:val="1"/>
      <w:numFmt w:val="bullet"/>
      <w:lvlText w:val="•"/>
      <w:lvlJc w:val="left"/>
      <w:pPr>
        <w:tabs>
          <w:tab w:val="num" w:pos="720"/>
        </w:tabs>
        <w:ind w:left="720" w:hanging="360"/>
      </w:pPr>
      <w:rPr>
        <w:rFonts w:ascii="Arial" w:hAnsi="Arial" w:hint="default"/>
      </w:rPr>
    </w:lvl>
    <w:lvl w:ilvl="1" w:tplc="5B4869A4" w:tentative="1">
      <w:start w:val="1"/>
      <w:numFmt w:val="bullet"/>
      <w:lvlText w:val="•"/>
      <w:lvlJc w:val="left"/>
      <w:pPr>
        <w:tabs>
          <w:tab w:val="num" w:pos="1440"/>
        </w:tabs>
        <w:ind w:left="1440" w:hanging="360"/>
      </w:pPr>
      <w:rPr>
        <w:rFonts w:ascii="Arial" w:hAnsi="Arial" w:hint="default"/>
      </w:rPr>
    </w:lvl>
    <w:lvl w:ilvl="2" w:tplc="5AD40E2C" w:tentative="1">
      <w:start w:val="1"/>
      <w:numFmt w:val="bullet"/>
      <w:lvlText w:val="•"/>
      <w:lvlJc w:val="left"/>
      <w:pPr>
        <w:tabs>
          <w:tab w:val="num" w:pos="2160"/>
        </w:tabs>
        <w:ind w:left="2160" w:hanging="360"/>
      </w:pPr>
      <w:rPr>
        <w:rFonts w:ascii="Arial" w:hAnsi="Arial" w:hint="default"/>
      </w:rPr>
    </w:lvl>
    <w:lvl w:ilvl="3" w:tplc="1BD03F94" w:tentative="1">
      <w:start w:val="1"/>
      <w:numFmt w:val="bullet"/>
      <w:lvlText w:val="•"/>
      <w:lvlJc w:val="left"/>
      <w:pPr>
        <w:tabs>
          <w:tab w:val="num" w:pos="2880"/>
        </w:tabs>
        <w:ind w:left="2880" w:hanging="360"/>
      </w:pPr>
      <w:rPr>
        <w:rFonts w:ascii="Arial" w:hAnsi="Arial" w:hint="default"/>
      </w:rPr>
    </w:lvl>
    <w:lvl w:ilvl="4" w:tplc="809C648C" w:tentative="1">
      <w:start w:val="1"/>
      <w:numFmt w:val="bullet"/>
      <w:lvlText w:val="•"/>
      <w:lvlJc w:val="left"/>
      <w:pPr>
        <w:tabs>
          <w:tab w:val="num" w:pos="3600"/>
        </w:tabs>
        <w:ind w:left="3600" w:hanging="360"/>
      </w:pPr>
      <w:rPr>
        <w:rFonts w:ascii="Arial" w:hAnsi="Arial" w:hint="default"/>
      </w:rPr>
    </w:lvl>
    <w:lvl w:ilvl="5" w:tplc="C0F05540" w:tentative="1">
      <w:start w:val="1"/>
      <w:numFmt w:val="bullet"/>
      <w:lvlText w:val="•"/>
      <w:lvlJc w:val="left"/>
      <w:pPr>
        <w:tabs>
          <w:tab w:val="num" w:pos="4320"/>
        </w:tabs>
        <w:ind w:left="4320" w:hanging="360"/>
      </w:pPr>
      <w:rPr>
        <w:rFonts w:ascii="Arial" w:hAnsi="Arial" w:hint="default"/>
      </w:rPr>
    </w:lvl>
    <w:lvl w:ilvl="6" w:tplc="12B4EC2C" w:tentative="1">
      <w:start w:val="1"/>
      <w:numFmt w:val="bullet"/>
      <w:lvlText w:val="•"/>
      <w:lvlJc w:val="left"/>
      <w:pPr>
        <w:tabs>
          <w:tab w:val="num" w:pos="5040"/>
        </w:tabs>
        <w:ind w:left="5040" w:hanging="360"/>
      </w:pPr>
      <w:rPr>
        <w:rFonts w:ascii="Arial" w:hAnsi="Arial" w:hint="default"/>
      </w:rPr>
    </w:lvl>
    <w:lvl w:ilvl="7" w:tplc="EECCBFE8" w:tentative="1">
      <w:start w:val="1"/>
      <w:numFmt w:val="bullet"/>
      <w:lvlText w:val="•"/>
      <w:lvlJc w:val="left"/>
      <w:pPr>
        <w:tabs>
          <w:tab w:val="num" w:pos="5760"/>
        </w:tabs>
        <w:ind w:left="5760" w:hanging="360"/>
      </w:pPr>
      <w:rPr>
        <w:rFonts w:ascii="Arial" w:hAnsi="Arial" w:hint="default"/>
      </w:rPr>
    </w:lvl>
    <w:lvl w:ilvl="8" w:tplc="A1A6F95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E9E"/>
    <w:rsid w:val="00002C3C"/>
    <w:rsid w:val="00004522"/>
    <w:rsid w:val="00011165"/>
    <w:rsid w:val="00011517"/>
    <w:rsid w:val="000121CB"/>
    <w:rsid w:val="00014F74"/>
    <w:rsid w:val="00015B28"/>
    <w:rsid w:val="0002055A"/>
    <w:rsid w:val="00021740"/>
    <w:rsid w:val="00022923"/>
    <w:rsid w:val="00023069"/>
    <w:rsid w:val="00027BEB"/>
    <w:rsid w:val="00031B63"/>
    <w:rsid w:val="00032D17"/>
    <w:rsid w:val="00033561"/>
    <w:rsid w:val="00033AE7"/>
    <w:rsid w:val="0003426C"/>
    <w:rsid w:val="00035BAE"/>
    <w:rsid w:val="00040BBC"/>
    <w:rsid w:val="00044EF3"/>
    <w:rsid w:val="00045187"/>
    <w:rsid w:val="00045E66"/>
    <w:rsid w:val="00047DFE"/>
    <w:rsid w:val="00050083"/>
    <w:rsid w:val="00052D1E"/>
    <w:rsid w:val="000542F9"/>
    <w:rsid w:val="00054A5C"/>
    <w:rsid w:val="000552B5"/>
    <w:rsid w:val="000564D1"/>
    <w:rsid w:val="00057967"/>
    <w:rsid w:val="000616B3"/>
    <w:rsid w:val="00063BEB"/>
    <w:rsid w:val="00065AFC"/>
    <w:rsid w:val="000666DE"/>
    <w:rsid w:val="00070CD1"/>
    <w:rsid w:val="00073135"/>
    <w:rsid w:val="000769AF"/>
    <w:rsid w:val="0007767A"/>
    <w:rsid w:val="0008007D"/>
    <w:rsid w:val="00084485"/>
    <w:rsid w:val="000866B6"/>
    <w:rsid w:val="000919FA"/>
    <w:rsid w:val="000930E4"/>
    <w:rsid w:val="00093773"/>
    <w:rsid w:val="00094B88"/>
    <w:rsid w:val="00094E8B"/>
    <w:rsid w:val="00096443"/>
    <w:rsid w:val="00096B2D"/>
    <w:rsid w:val="00097B48"/>
    <w:rsid w:val="000A043C"/>
    <w:rsid w:val="000A22EF"/>
    <w:rsid w:val="000A3831"/>
    <w:rsid w:val="000A46D2"/>
    <w:rsid w:val="000A5C70"/>
    <w:rsid w:val="000B5E62"/>
    <w:rsid w:val="000B7DA9"/>
    <w:rsid w:val="000C052A"/>
    <w:rsid w:val="000C0C8E"/>
    <w:rsid w:val="000C2484"/>
    <w:rsid w:val="000C5217"/>
    <w:rsid w:val="000C5338"/>
    <w:rsid w:val="000D0814"/>
    <w:rsid w:val="000D0B2C"/>
    <w:rsid w:val="000D2EAA"/>
    <w:rsid w:val="000D5A69"/>
    <w:rsid w:val="000D7DDA"/>
    <w:rsid w:val="000E3920"/>
    <w:rsid w:val="000E3DCE"/>
    <w:rsid w:val="000E3EA2"/>
    <w:rsid w:val="000E4D85"/>
    <w:rsid w:val="000E5683"/>
    <w:rsid w:val="000E57A2"/>
    <w:rsid w:val="000F0996"/>
    <w:rsid w:val="000F28C3"/>
    <w:rsid w:val="000F4528"/>
    <w:rsid w:val="0010142D"/>
    <w:rsid w:val="0010392B"/>
    <w:rsid w:val="00103B6B"/>
    <w:rsid w:val="00106195"/>
    <w:rsid w:val="00107363"/>
    <w:rsid w:val="00110043"/>
    <w:rsid w:val="001114F0"/>
    <w:rsid w:val="00112D09"/>
    <w:rsid w:val="00112DDF"/>
    <w:rsid w:val="00113095"/>
    <w:rsid w:val="00113723"/>
    <w:rsid w:val="00115A38"/>
    <w:rsid w:val="001165F7"/>
    <w:rsid w:val="00117129"/>
    <w:rsid w:val="00117712"/>
    <w:rsid w:val="00120848"/>
    <w:rsid w:val="00126966"/>
    <w:rsid w:val="001311DE"/>
    <w:rsid w:val="00133EA0"/>
    <w:rsid w:val="00136EE8"/>
    <w:rsid w:val="00137D04"/>
    <w:rsid w:val="001423F8"/>
    <w:rsid w:val="00146D60"/>
    <w:rsid w:val="00147426"/>
    <w:rsid w:val="00150C45"/>
    <w:rsid w:val="001511C2"/>
    <w:rsid w:val="00151D11"/>
    <w:rsid w:val="00151EC4"/>
    <w:rsid w:val="00154B4B"/>
    <w:rsid w:val="00155F25"/>
    <w:rsid w:val="00157D39"/>
    <w:rsid w:val="00161E4F"/>
    <w:rsid w:val="00163078"/>
    <w:rsid w:val="0016403D"/>
    <w:rsid w:val="00164A3B"/>
    <w:rsid w:val="00164C51"/>
    <w:rsid w:val="00166290"/>
    <w:rsid w:val="00170222"/>
    <w:rsid w:val="00171F19"/>
    <w:rsid w:val="00171F46"/>
    <w:rsid w:val="00173281"/>
    <w:rsid w:val="00173E49"/>
    <w:rsid w:val="00174219"/>
    <w:rsid w:val="00174A67"/>
    <w:rsid w:val="00174FBA"/>
    <w:rsid w:val="001766C1"/>
    <w:rsid w:val="00177AA8"/>
    <w:rsid w:val="00177C50"/>
    <w:rsid w:val="0018038F"/>
    <w:rsid w:val="00180BC6"/>
    <w:rsid w:val="00181DD9"/>
    <w:rsid w:val="0018206D"/>
    <w:rsid w:val="001820D0"/>
    <w:rsid w:val="00182EE8"/>
    <w:rsid w:val="00183089"/>
    <w:rsid w:val="001835B2"/>
    <w:rsid w:val="00183AC3"/>
    <w:rsid w:val="00186826"/>
    <w:rsid w:val="00190226"/>
    <w:rsid w:val="00190565"/>
    <w:rsid w:val="00192941"/>
    <w:rsid w:val="001929A3"/>
    <w:rsid w:val="00192DFD"/>
    <w:rsid w:val="001951BF"/>
    <w:rsid w:val="00195C41"/>
    <w:rsid w:val="001968BA"/>
    <w:rsid w:val="00196958"/>
    <w:rsid w:val="001A0957"/>
    <w:rsid w:val="001A0D85"/>
    <w:rsid w:val="001A1E5E"/>
    <w:rsid w:val="001A261A"/>
    <w:rsid w:val="001A29AB"/>
    <w:rsid w:val="001A336F"/>
    <w:rsid w:val="001A67E4"/>
    <w:rsid w:val="001B0142"/>
    <w:rsid w:val="001B14AE"/>
    <w:rsid w:val="001B1C56"/>
    <w:rsid w:val="001B1D34"/>
    <w:rsid w:val="001B2F6D"/>
    <w:rsid w:val="001B489A"/>
    <w:rsid w:val="001B4FFC"/>
    <w:rsid w:val="001C1D65"/>
    <w:rsid w:val="001C5B4A"/>
    <w:rsid w:val="001C5B69"/>
    <w:rsid w:val="001C65AE"/>
    <w:rsid w:val="001C6EB3"/>
    <w:rsid w:val="001D181E"/>
    <w:rsid w:val="001D1AB3"/>
    <w:rsid w:val="001D2C76"/>
    <w:rsid w:val="001D3DA0"/>
    <w:rsid w:val="001D457C"/>
    <w:rsid w:val="001E0282"/>
    <w:rsid w:val="001E080A"/>
    <w:rsid w:val="001E0E3C"/>
    <w:rsid w:val="001E2C13"/>
    <w:rsid w:val="001E721B"/>
    <w:rsid w:val="001E7870"/>
    <w:rsid w:val="001F034A"/>
    <w:rsid w:val="001F2CB9"/>
    <w:rsid w:val="001F31EB"/>
    <w:rsid w:val="001F574D"/>
    <w:rsid w:val="001F60AB"/>
    <w:rsid w:val="00202385"/>
    <w:rsid w:val="002034AD"/>
    <w:rsid w:val="00204B0E"/>
    <w:rsid w:val="00205180"/>
    <w:rsid w:val="0020548E"/>
    <w:rsid w:val="00206499"/>
    <w:rsid w:val="002073A1"/>
    <w:rsid w:val="002075E4"/>
    <w:rsid w:val="00212A6C"/>
    <w:rsid w:val="00214B2F"/>
    <w:rsid w:val="0021635D"/>
    <w:rsid w:val="002167FD"/>
    <w:rsid w:val="00217A43"/>
    <w:rsid w:val="00221B1C"/>
    <w:rsid w:val="002225AF"/>
    <w:rsid w:val="00223EFD"/>
    <w:rsid w:val="00223FB4"/>
    <w:rsid w:val="002243A1"/>
    <w:rsid w:val="00224562"/>
    <w:rsid w:val="0022591D"/>
    <w:rsid w:val="00226A03"/>
    <w:rsid w:val="00232C05"/>
    <w:rsid w:val="00233350"/>
    <w:rsid w:val="002343C8"/>
    <w:rsid w:val="002374A6"/>
    <w:rsid w:val="002421D6"/>
    <w:rsid w:val="00242916"/>
    <w:rsid w:val="0024374E"/>
    <w:rsid w:val="00245558"/>
    <w:rsid w:val="002465F5"/>
    <w:rsid w:val="002505E1"/>
    <w:rsid w:val="00251214"/>
    <w:rsid w:val="002520E6"/>
    <w:rsid w:val="002531A0"/>
    <w:rsid w:val="00253D05"/>
    <w:rsid w:val="00263C37"/>
    <w:rsid w:val="0026482C"/>
    <w:rsid w:val="002678FB"/>
    <w:rsid w:val="00270552"/>
    <w:rsid w:val="00273BF6"/>
    <w:rsid w:val="0027696A"/>
    <w:rsid w:val="0028036F"/>
    <w:rsid w:val="00280A5F"/>
    <w:rsid w:val="002813B2"/>
    <w:rsid w:val="00283CB0"/>
    <w:rsid w:val="0028497F"/>
    <w:rsid w:val="00285FBA"/>
    <w:rsid w:val="0028687A"/>
    <w:rsid w:val="002870A8"/>
    <w:rsid w:val="00291740"/>
    <w:rsid w:val="002921FB"/>
    <w:rsid w:val="002945C3"/>
    <w:rsid w:val="00295AC3"/>
    <w:rsid w:val="0029675F"/>
    <w:rsid w:val="00296B87"/>
    <w:rsid w:val="002979AA"/>
    <w:rsid w:val="002A5423"/>
    <w:rsid w:val="002A55E1"/>
    <w:rsid w:val="002A62A2"/>
    <w:rsid w:val="002B0C85"/>
    <w:rsid w:val="002B27DC"/>
    <w:rsid w:val="002B34DC"/>
    <w:rsid w:val="002B60D0"/>
    <w:rsid w:val="002B715A"/>
    <w:rsid w:val="002C0522"/>
    <w:rsid w:val="002C1187"/>
    <w:rsid w:val="002C11B2"/>
    <w:rsid w:val="002C305F"/>
    <w:rsid w:val="002C360B"/>
    <w:rsid w:val="002C5EF7"/>
    <w:rsid w:val="002D10EA"/>
    <w:rsid w:val="002D12E2"/>
    <w:rsid w:val="002D3052"/>
    <w:rsid w:val="002D3C2F"/>
    <w:rsid w:val="002D6C32"/>
    <w:rsid w:val="002E09AD"/>
    <w:rsid w:val="002E0E5A"/>
    <w:rsid w:val="002E199E"/>
    <w:rsid w:val="002E5F3B"/>
    <w:rsid w:val="002E7017"/>
    <w:rsid w:val="002E7A7B"/>
    <w:rsid w:val="002F07FD"/>
    <w:rsid w:val="002F414F"/>
    <w:rsid w:val="002F5352"/>
    <w:rsid w:val="002F7B16"/>
    <w:rsid w:val="00301684"/>
    <w:rsid w:val="00302FCF"/>
    <w:rsid w:val="003037C7"/>
    <w:rsid w:val="00306671"/>
    <w:rsid w:val="00306783"/>
    <w:rsid w:val="003102AC"/>
    <w:rsid w:val="00310398"/>
    <w:rsid w:val="0031460B"/>
    <w:rsid w:val="00316F15"/>
    <w:rsid w:val="00317091"/>
    <w:rsid w:val="0031794A"/>
    <w:rsid w:val="0032020F"/>
    <w:rsid w:val="0032459D"/>
    <w:rsid w:val="0032629F"/>
    <w:rsid w:val="0032690C"/>
    <w:rsid w:val="0032698C"/>
    <w:rsid w:val="003272D8"/>
    <w:rsid w:val="003278B0"/>
    <w:rsid w:val="003300A4"/>
    <w:rsid w:val="00331FA1"/>
    <w:rsid w:val="003330EE"/>
    <w:rsid w:val="003351BC"/>
    <w:rsid w:val="0033537D"/>
    <w:rsid w:val="00335989"/>
    <w:rsid w:val="00336919"/>
    <w:rsid w:val="00340E8F"/>
    <w:rsid w:val="0034475B"/>
    <w:rsid w:val="003447AB"/>
    <w:rsid w:val="003451C9"/>
    <w:rsid w:val="00345D91"/>
    <w:rsid w:val="00350269"/>
    <w:rsid w:val="00354F61"/>
    <w:rsid w:val="00355A18"/>
    <w:rsid w:val="00356116"/>
    <w:rsid w:val="0035670F"/>
    <w:rsid w:val="00356A21"/>
    <w:rsid w:val="003600B7"/>
    <w:rsid w:val="003607CE"/>
    <w:rsid w:val="00360FDE"/>
    <w:rsid w:val="003619E7"/>
    <w:rsid w:val="00361B82"/>
    <w:rsid w:val="00363524"/>
    <w:rsid w:val="0036373D"/>
    <w:rsid w:val="00363D2C"/>
    <w:rsid w:val="0036580A"/>
    <w:rsid w:val="0036621E"/>
    <w:rsid w:val="00367995"/>
    <w:rsid w:val="00367B38"/>
    <w:rsid w:val="00376CDE"/>
    <w:rsid w:val="0037784B"/>
    <w:rsid w:val="00377995"/>
    <w:rsid w:val="00377F98"/>
    <w:rsid w:val="003807E6"/>
    <w:rsid w:val="00387198"/>
    <w:rsid w:val="00390F9E"/>
    <w:rsid w:val="00391C20"/>
    <w:rsid w:val="0039309F"/>
    <w:rsid w:val="0039475C"/>
    <w:rsid w:val="003A0510"/>
    <w:rsid w:val="003A05C5"/>
    <w:rsid w:val="003A09AE"/>
    <w:rsid w:val="003A1570"/>
    <w:rsid w:val="003A4415"/>
    <w:rsid w:val="003A4BA7"/>
    <w:rsid w:val="003A600C"/>
    <w:rsid w:val="003B0AA0"/>
    <w:rsid w:val="003B323F"/>
    <w:rsid w:val="003B3D8E"/>
    <w:rsid w:val="003B3DDE"/>
    <w:rsid w:val="003B3EE0"/>
    <w:rsid w:val="003B4B41"/>
    <w:rsid w:val="003C0001"/>
    <w:rsid w:val="003C306F"/>
    <w:rsid w:val="003C3203"/>
    <w:rsid w:val="003C3D1A"/>
    <w:rsid w:val="003C4376"/>
    <w:rsid w:val="003C765E"/>
    <w:rsid w:val="003D000A"/>
    <w:rsid w:val="003D03DE"/>
    <w:rsid w:val="003D3930"/>
    <w:rsid w:val="003D409B"/>
    <w:rsid w:val="003D6F13"/>
    <w:rsid w:val="003E063D"/>
    <w:rsid w:val="003E1179"/>
    <w:rsid w:val="003E1886"/>
    <w:rsid w:val="003E2F62"/>
    <w:rsid w:val="003E4439"/>
    <w:rsid w:val="003E4FF4"/>
    <w:rsid w:val="003E5E63"/>
    <w:rsid w:val="003E7B6A"/>
    <w:rsid w:val="003F05B6"/>
    <w:rsid w:val="003F16D1"/>
    <w:rsid w:val="003F1FA4"/>
    <w:rsid w:val="003F2078"/>
    <w:rsid w:val="003F6391"/>
    <w:rsid w:val="004001D4"/>
    <w:rsid w:val="00401618"/>
    <w:rsid w:val="0040188B"/>
    <w:rsid w:val="00403D7D"/>
    <w:rsid w:val="0040422A"/>
    <w:rsid w:val="00404680"/>
    <w:rsid w:val="0040486D"/>
    <w:rsid w:val="00404959"/>
    <w:rsid w:val="00405ED9"/>
    <w:rsid w:val="00406C76"/>
    <w:rsid w:val="00406DB9"/>
    <w:rsid w:val="00406DCF"/>
    <w:rsid w:val="00414C4A"/>
    <w:rsid w:val="00416970"/>
    <w:rsid w:val="00417E81"/>
    <w:rsid w:val="004215FB"/>
    <w:rsid w:val="00421C14"/>
    <w:rsid w:val="004222E3"/>
    <w:rsid w:val="00422AB5"/>
    <w:rsid w:val="00423B99"/>
    <w:rsid w:val="00424162"/>
    <w:rsid w:val="00425ED8"/>
    <w:rsid w:val="004317D5"/>
    <w:rsid w:val="00433F37"/>
    <w:rsid w:val="00434925"/>
    <w:rsid w:val="00436F23"/>
    <w:rsid w:val="00441387"/>
    <w:rsid w:val="004423DB"/>
    <w:rsid w:val="00442A42"/>
    <w:rsid w:val="00447031"/>
    <w:rsid w:val="00450400"/>
    <w:rsid w:val="00450573"/>
    <w:rsid w:val="0045134F"/>
    <w:rsid w:val="00454E50"/>
    <w:rsid w:val="004550FC"/>
    <w:rsid w:val="004560C1"/>
    <w:rsid w:val="00456465"/>
    <w:rsid w:val="0045734D"/>
    <w:rsid w:val="004577E9"/>
    <w:rsid w:val="004614B3"/>
    <w:rsid w:val="00463492"/>
    <w:rsid w:val="004768A2"/>
    <w:rsid w:val="00482D08"/>
    <w:rsid w:val="00484D77"/>
    <w:rsid w:val="00485419"/>
    <w:rsid w:val="00485D85"/>
    <w:rsid w:val="0048608E"/>
    <w:rsid w:val="00487BD0"/>
    <w:rsid w:val="0049081E"/>
    <w:rsid w:val="00491555"/>
    <w:rsid w:val="00496297"/>
    <w:rsid w:val="004966BC"/>
    <w:rsid w:val="00497000"/>
    <w:rsid w:val="00497139"/>
    <w:rsid w:val="00497179"/>
    <w:rsid w:val="004A1A3E"/>
    <w:rsid w:val="004A365A"/>
    <w:rsid w:val="004A3BE9"/>
    <w:rsid w:val="004A4A8B"/>
    <w:rsid w:val="004A54C1"/>
    <w:rsid w:val="004B0449"/>
    <w:rsid w:val="004B14DB"/>
    <w:rsid w:val="004B2FDC"/>
    <w:rsid w:val="004B3964"/>
    <w:rsid w:val="004B40DE"/>
    <w:rsid w:val="004B5E53"/>
    <w:rsid w:val="004C33C1"/>
    <w:rsid w:val="004C44FA"/>
    <w:rsid w:val="004C4977"/>
    <w:rsid w:val="004C5227"/>
    <w:rsid w:val="004D054C"/>
    <w:rsid w:val="004D0843"/>
    <w:rsid w:val="004D5B11"/>
    <w:rsid w:val="004E2BB2"/>
    <w:rsid w:val="004E4826"/>
    <w:rsid w:val="004E4E30"/>
    <w:rsid w:val="004E64AA"/>
    <w:rsid w:val="004E72A0"/>
    <w:rsid w:val="004E7C72"/>
    <w:rsid w:val="004E7D90"/>
    <w:rsid w:val="004F1685"/>
    <w:rsid w:val="004F1A33"/>
    <w:rsid w:val="004F1BAB"/>
    <w:rsid w:val="004F484C"/>
    <w:rsid w:val="004F4896"/>
    <w:rsid w:val="004F6D66"/>
    <w:rsid w:val="005003D8"/>
    <w:rsid w:val="00500829"/>
    <w:rsid w:val="00500869"/>
    <w:rsid w:val="00501CCB"/>
    <w:rsid w:val="00501D22"/>
    <w:rsid w:val="00502962"/>
    <w:rsid w:val="0050384A"/>
    <w:rsid w:val="00504D10"/>
    <w:rsid w:val="0050616D"/>
    <w:rsid w:val="005077C1"/>
    <w:rsid w:val="00507F21"/>
    <w:rsid w:val="00510888"/>
    <w:rsid w:val="005112B3"/>
    <w:rsid w:val="005115E4"/>
    <w:rsid w:val="00511C42"/>
    <w:rsid w:val="00514DB9"/>
    <w:rsid w:val="005157B0"/>
    <w:rsid w:val="00515DF0"/>
    <w:rsid w:val="0052128A"/>
    <w:rsid w:val="00523249"/>
    <w:rsid w:val="005244FA"/>
    <w:rsid w:val="00527F2B"/>
    <w:rsid w:val="00531E3C"/>
    <w:rsid w:val="00533A43"/>
    <w:rsid w:val="00534E0C"/>
    <w:rsid w:val="0053516D"/>
    <w:rsid w:val="005365EE"/>
    <w:rsid w:val="005403D2"/>
    <w:rsid w:val="00541348"/>
    <w:rsid w:val="0055166B"/>
    <w:rsid w:val="005561F6"/>
    <w:rsid w:val="00557262"/>
    <w:rsid w:val="005605F6"/>
    <w:rsid w:val="0056093B"/>
    <w:rsid w:val="0056164F"/>
    <w:rsid w:val="00562A8B"/>
    <w:rsid w:val="0056341F"/>
    <w:rsid w:val="00563DF5"/>
    <w:rsid w:val="005656CB"/>
    <w:rsid w:val="00567091"/>
    <w:rsid w:val="00572DA4"/>
    <w:rsid w:val="0057477F"/>
    <w:rsid w:val="00574FE1"/>
    <w:rsid w:val="00575FEA"/>
    <w:rsid w:val="005761DF"/>
    <w:rsid w:val="00576B13"/>
    <w:rsid w:val="00576C2D"/>
    <w:rsid w:val="00577D2D"/>
    <w:rsid w:val="00577EFE"/>
    <w:rsid w:val="005821AF"/>
    <w:rsid w:val="005845F0"/>
    <w:rsid w:val="005847E2"/>
    <w:rsid w:val="00585540"/>
    <w:rsid w:val="005860E4"/>
    <w:rsid w:val="00587498"/>
    <w:rsid w:val="00587940"/>
    <w:rsid w:val="0059052A"/>
    <w:rsid w:val="005911F8"/>
    <w:rsid w:val="00591482"/>
    <w:rsid w:val="00594E1F"/>
    <w:rsid w:val="00594EFA"/>
    <w:rsid w:val="005A1F4C"/>
    <w:rsid w:val="005A32D4"/>
    <w:rsid w:val="005A3BA7"/>
    <w:rsid w:val="005A3D91"/>
    <w:rsid w:val="005A625A"/>
    <w:rsid w:val="005B321A"/>
    <w:rsid w:val="005B3B20"/>
    <w:rsid w:val="005B709A"/>
    <w:rsid w:val="005C019B"/>
    <w:rsid w:val="005C13F2"/>
    <w:rsid w:val="005C598E"/>
    <w:rsid w:val="005D23AC"/>
    <w:rsid w:val="005D3702"/>
    <w:rsid w:val="005D4E92"/>
    <w:rsid w:val="005D52B7"/>
    <w:rsid w:val="005D6BB8"/>
    <w:rsid w:val="005D7246"/>
    <w:rsid w:val="005D79C7"/>
    <w:rsid w:val="005E1BE9"/>
    <w:rsid w:val="005E3DC8"/>
    <w:rsid w:val="005E42F1"/>
    <w:rsid w:val="005E521B"/>
    <w:rsid w:val="005E6FB2"/>
    <w:rsid w:val="005F0675"/>
    <w:rsid w:val="005F10CB"/>
    <w:rsid w:val="005F3DC3"/>
    <w:rsid w:val="005F458B"/>
    <w:rsid w:val="005F4D05"/>
    <w:rsid w:val="005F575C"/>
    <w:rsid w:val="005F7E1D"/>
    <w:rsid w:val="006003C7"/>
    <w:rsid w:val="00601800"/>
    <w:rsid w:val="00604522"/>
    <w:rsid w:val="006056C1"/>
    <w:rsid w:val="006075A9"/>
    <w:rsid w:val="006114CD"/>
    <w:rsid w:val="0061351B"/>
    <w:rsid w:val="006142CB"/>
    <w:rsid w:val="006145AC"/>
    <w:rsid w:val="00614B36"/>
    <w:rsid w:val="00615F7E"/>
    <w:rsid w:val="00616C4F"/>
    <w:rsid w:val="00621C93"/>
    <w:rsid w:val="00622243"/>
    <w:rsid w:val="00622AC9"/>
    <w:rsid w:val="00625686"/>
    <w:rsid w:val="00625DAC"/>
    <w:rsid w:val="00625F4F"/>
    <w:rsid w:val="00627F1D"/>
    <w:rsid w:val="006306C9"/>
    <w:rsid w:val="006309E5"/>
    <w:rsid w:val="00630B7E"/>
    <w:rsid w:val="00631BFA"/>
    <w:rsid w:val="00633339"/>
    <w:rsid w:val="00635681"/>
    <w:rsid w:val="006368D1"/>
    <w:rsid w:val="006371B5"/>
    <w:rsid w:val="00641AF0"/>
    <w:rsid w:val="00641B5E"/>
    <w:rsid w:val="00641FF6"/>
    <w:rsid w:val="00643407"/>
    <w:rsid w:val="00643E20"/>
    <w:rsid w:val="006441DD"/>
    <w:rsid w:val="00644724"/>
    <w:rsid w:val="00645956"/>
    <w:rsid w:val="00645DDF"/>
    <w:rsid w:val="006464AD"/>
    <w:rsid w:val="00653E3C"/>
    <w:rsid w:val="006542B6"/>
    <w:rsid w:val="006545BB"/>
    <w:rsid w:val="00656539"/>
    <w:rsid w:val="006568C6"/>
    <w:rsid w:val="00662412"/>
    <w:rsid w:val="00663CF8"/>
    <w:rsid w:val="0066425F"/>
    <w:rsid w:val="00664FD7"/>
    <w:rsid w:val="0066794F"/>
    <w:rsid w:val="00671328"/>
    <w:rsid w:val="0067289E"/>
    <w:rsid w:val="00672F0C"/>
    <w:rsid w:val="00677AC5"/>
    <w:rsid w:val="00681732"/>
    <w:rsid w:val="00683270"/>
    <w:rsid w:val="0068359C"/>
    <w:rsid w:val="00686993"/>
    <w:rsid w:val="0068789A"/>
    <w:rsid w:val="00690EE0"/>
    <w:rsid w:val="0069103A"/>
    <w:rsid w:val="00693EEC"/>
    <w:rsid w:val="00696BA6"/>
    <w:rsid w:val="006970B0"/>
    <w:rsid w:val="0069750C"/>
    <w:rsid w:val="006A0C28"/>
    <w:rsid w:val="006A10C1"/>
    <w:rsid w:val="006A4759"/>
    <w:rsid w:val="006A4950"/>
    <w:rsid w:val="006A4F2F"/>
    <w:rsid w:val="006A5AE8"/>
    <w:rsid w:val="006A7A14"/>
    <w:rsid w:val="006B1A03"/>
    <w:rsid w:val="006B1D5C"/>
    <w:rsid w:val="006B1D87"/>
    <w:rsid w:val="006B223A"/>
    <w:rsid w:val="006B22E9"/>
    <w:rsid w:val="006B3769"/>
    <w:rsid w:val="006B7A7E"/>
    <w:rsid w:val="006C0E69"/>
    <w:rsid w:val="006C21B7"/>
    <w:rsid w:val="006C6F7C"/>
    <w:rsid w:val="006C6FC7"/>
    <w:rsid w:val="006C730C"/>
    <w:rsid w:val="006C7640"/>
    <w:rsid w:val="006C7D19"/>
    <w:rsid w:val="006D33C9"/>
    <w:rsid w:val="006D35D0"/>
    <w:rsid w:val="006D601D"/>
    <w:rsid w:val="006D6B80"/>
    <w:rsid w:val="006E0DBB"/>
    <w:rsid w:val="006E3BF7"/>
    <w:rsid w:val="006E568A"/>
    <w:rsid w:val="006E6DC8"/>
    <w:rsid w:val="006F028A"/>
    <w:rsid w:val="006F0434"/>
    <w:rsid w:val="006F06D3"/>
    <w:rsid w:val="006F0C94"/>
    <w:rsid w:val="006F1293"/>
    <w:rsid w:val="006F2AC7"/>
    <w:rsid w:val="006F3BE4"/>
    <w:rsid w:val="006F4711"/>
    <w:rsid w:val="007006C1"/>
    <w:rsid w:val="00703A4E"/>
    <w:rsid w:val="007040F6"/>
    <w:rsid w:val="0070609F"/>
    <w:rsid w:val="007078CB"/>
    <w:rsid w:val="00707B59"/>
    <w:rsid w:val="007104C1"/>
    <w:rsid w:val="00711F91"/>
    <w:rsid w:val="00712F1D"/>
    <w:rsid w:val="00714C7D"/>
    <w:rsid w:val="00716502"/>
    <w:rsid w:val="007169B5"/>
    <w:rsid w:val="007236C3"/>
    <w:rsid w:val="00723E99"/>
    <w:rsid w:val="007259A5"/>
    <w:rsid w:val="00727E15"/>
    <w:rsid w:val="00730BCA"/>
    <w:rsid w:val="007326EE"/>
    <w:rsid w:val="00735424"/>
    <w:rsid w:val="00735B7D"/>
    <w:rsid w:val="007370E4"/>
    <w:rsid w:val="00741929"/>
    <w:rsid w:val="007430D6"/>
    <w:rsid w:val="007430F6"/>
    <w:rsid w:val="00744305"/>
    <w:rsid w:val="0074609F"/>
    <w:rsid w:val="00746D78"/>
    <w:rsid w:val="007515FD"/>
    <w:rsid w:val="00751CB1"/>
    <w:rsid w:val="007530C9"/>
    <w:rsid w:val="007551EF"/>
    <w:rsid w:val="007553FF"/>
    <w:rsid w:val="0075668C"/>
    <w:rsid w:val="007601E2"/>
    <w:rsid w:val="007671B5"/>
    <w:rsid w:val="00767292"/>
    <w:rsid w:val="00770049"/>
    <w:rsid w:val="00770776"/>
    <w:rsid w:val="00770E83"/>
    <w:rsid w:val="00773059"/>
    <w:rsid w:val="007770A3"/>
    <w:rsid w:val="007779DF"/>
    <w:rsid w:val="0078032C"/>
    <w:rsid w:val="007805B2"/>
    <w:rsid w:val="00782B28"/>
    <w:rsid w:val="007843A7"/>
    <w:rsid w:val="007845F4"/>
    <w:rsid w:val="0078782F"/>
    <w:rsid w:val="00791A66"/>
    <w:rsid w:val="00794582"/>
    <w:rsid w:val="007946E4"/>
    <w:rsid w:val="00795261"/>
    <w:rsid w:val="0079527C"/>
    <w:rsid w:val="007977C2"/>
    <w:rsid w:val="00797A73"/>
    <w:rsid w:val="00797BE4"/>
    <w:rsid w:val="007A013E"/>
    <w:rsid w:val="007A148A"/>
    <w:rsid w:val="007A28E3"/>
    <w:rsid w:val="007A4F3B"/>
    <w:rsid w:val="007A56C8"/>
    <w:rsid w:val="007A5915"/>
    <w:rsid w:val="007A6856"/>
    <w:rsid w:val="007B0095"/>
    <w:rsid w:val="007B221B"/>
    <w:rsid w:val="007B32F7"/>
    <w:rsid w:val="007B44D5"/>
    <w:rsid w:val="007B5F03"/>
    <w:rsid w:val="007B7E85"/>
    <w:rsid w:val="007C1046"/>
    <w:rsid w:val="007C2AD9"/>
    <w:rsid w:val="007C4183"/>
    <w:rsid w:val="007C6F90"/>
    <w:rsid w:val="007D20B8"/>
    <w:rsid w:val="007D27DF"/>
    <w:rsid w:val="007D5063"/>
    <w:rsid w:val="007D74BE"/>
    <w:rsid w:val="007D7FD6"/>
    <w:rsid w:val="007E14E1"/>
    <w:rsid w:val="007E2883"/>
    <w:rsid w:val="007E3818"/>
    <w:rsid w:val="007E4949"/>
    <w:rsid w:val="007E534B"/>
    <w:rsid w:val="007E6DBE"/>
    <w:rsid w:val="007F0500"/>
    <w:rsid w:val="007F09E9"/>
    <w:rsid w:val="007F1548"/>
    <w:rsid w:val="007F36DF"/>
    <w:rsid w:val="007F5F3F"/>
    <w:rsid w:val="007F6187"/>
    <w:rsid w:val="008019D3"/>
    <w:rsid w:val="008019FC"/>
    <w:rsid w:val="0080226D"/>
    <w:rsid w:val="0080270D"/>
    <w:rsid w:val="00802755"/>
    <w:rsid w:val="00802A79"/>
    <w:rsid w:val="00803078"/>
    <w:rsid w:val="00811733"/>
    <w:rsid w:val="00812D11"/>
    <w:rsid w:val="008144D3"/>
    <w:rsid w:val="00814F0E"/>
    <w:rsid w:val="008204AF"/>
    <w:rsid w:val="00821D59"/>
    <w:rsid w:val="008221A7"/>
    <w:rsid w:val="008341B1"/>
    <w:rsid w:val="008360E2"/>
    <w:rsid w:val="008375D7"/>
    <w:rsid w:val="0084231B"/>
    <w:rsid w:val="008543C4"/>
    <w:rsid w:val="00854B1D"/>
    <w:rsid w:val="00854F21"/>
    <w:rsid w:val="008553CB"/>
    <w:rsid w:val="00857FF9"/>
    <w:rsid w:val="00861C54"/>
    <w:rsid w:val="0086511C"/>
    <w:rsid w:val="0086630B"/>
    <w:rsid w:val="0086767F"/>
    <w:rsid w:val="00870204"/>
    <w:rsid w:val="008719B5"/>
    <w:rsid w:val="008719CB"/>
    <w:rsid w:val="00873AEA"/>
    <w:rsid w:val="008741A8"/>
    <w:rsid w:val="00875F44"/>
    <w:rsid w:val="00877A58"/>
    <w:rsid w:val="008802A0"/>
    <w:rsid w:val="0088049F"/>
    <w:rsid w:val="00883A17"/>
    <w:rsid w:val="00885A33"/>
    <w:rsid w:val="00886D26"/>
    <w:rsid w:val="00887968"/>
    <w:rsid w:val="00887ED3"/>
    <w:rsid w:val="00893682"/>
    <w:rsid w:val="00893786"/>
    <w:rsid w:val="00894804"/>
    <w:rsid w:val="00897345"/>
    <w:rsid w:val="0089782C"/>
    <w:rsid w:val="00897BC6"/>
    <w:rsid w:val="008A0423"/>
    <w:rsid w:val="008A126E"/>
    <w:rsid w:val="008A1557"/>
    <w:rsid w:val="008A40EC"/>
    <w:rsid w:val="008A72A9"/>
    <w:rsid w:val="008A744B"/>
    <w:rsid w:val="008B09F3"/>
    <w:rsid w:val="008B3830"/>
    <w:rsid w:val="008B4AAF"/>
    <w:rsid w:val="008B5347"/>
    <w:rsid w:val="008B7335"/>
    <w:rsid w:val="008B75D9"/>
    <w:rsid w:val="008C07F5"/>
    <w:rsid w:val="008C44FF"/>
    <w:rsid w:val="008D369E"/>
    <w:rsid w:val="008D3A2B"/>
    <w:rsid w:val="008D6F18"/>
    <w:rsid w:val="008D77F8"/>
    <w:rsid w:val="008E04FB"/>
    <w:rsid w:val="008E120F"/>
    <w:rsid w:val="008E37B4"/>
    <w:rsid w:val="008E5139"/>
    <w:rsid w:val="008F1796"/>
    <w:rsid w:val="008F2C67"/>
    <w:rsid w:val="008F3F15"/>
    <w:rsid w:val="008F5766"/>
    <w:rsid w:val="008F6D55"/>
    <w:rsid w:val="008F6E1A"/>
    <w:rsid w:val="00900E88"/>
    <w:rsid w:val="009029CA"/>
    <w:rsid w:val="009031AB"/>
    <w:rsid w:val="009049D8"/>
    <w:rsid w:val="00906027"/>
    <w:rsid w:val="009065A5"/>
    <w:rsid w:val="009074DD"/>
    <w:rsid w:val="00907AC4"/>
    <w:rsid w:val="00907AEA"/>
    <w:rsid w:val="00912C7C"/>
    <w:rsid w:val="0091338F"/>
    <w:rsid w:val="00914826"/>
    <w:rsid w:val="0091485A"/>
    <w:rsid w:val="0091544A"/>
    <w:rsid w:val="00915F4D"/>
    <w:rsid w:val="00916A47"/>
    <w:rsid w:val="0091731E"/>
    <w:rsid w:val="00917B40"/>
    <w:rsid w:val="00920D72"/>
    <w:rsid w:val="009225E6"/>
    <w:rsid w:val="00922BE1"/>
    <w:rsid w:val="00924409"/>
    <w:rsid w:val="0092507B"/>
    <w:rsid w:val="00926696"/>
    <w:rsid w:val="0093012D"/>
    <w:rsid w:val="00933FBD"/>
    <w:rsid w:val="00934C55"/>
    <w:rsid w:val="00937127"/>
    <w:rsid w:val="0094102C"/>
    <w:rsid w:val="00941588"/>
    <w:rsid w:val="00942400"/>
    <w:rsid w:val="009431D0"/>
    <w:rsid w:val="0094331F"/>
    <w:rsid w:val="00943771"/>
    <w:rsid w:val="00943E25"/>
    <w:rsid w:val="00945392"/>
    <w:rsid w:val="00945745"/>
    <w:rsid w:val="00946F9E"/>
    <w:rsid w:val="009500F2"/>
    <w:rsid w:val="00950483"/>
    <w:rsid w:val="00952CCB"/>
    <w:rsid w:val="00952D3F"/>
    <w:rsid w:val="00955E55"/>
    <w:rsid w:val="00957554"/>
    <w:rsid w:val="009611E8"/>
    <w:rsid w:val="0096234D"/>
    <w:rsid w:val="00964E95"/>
    <w:rsid w:val="00965DE5"/>
    <w:rsid w:val="009676B3"/>
    <w:rsid w:val="009679E4"/>
    <w:rsid w:val="009720BB"/>
    <w:rsid w:val="009721F0"/>
    <w:rsid w:val="00972A0B"/>
    <w:rsid w:val="00977BBE"/>
    <w:rsid w:val="00981542"/>
    <w:rsid w:val="00981F97"/>
    <w:rsid w:val="0098317A"/>
    <w:rsid w:val="0098426C"/>
    <w:rsid w:val="009847AE"/>
    <w:rsid w:val="00984823"/>
    <w:rsid w:val="009866CC"/>
    <w:rsid w:val="00987C91"/>
    <w:rsid w:val="009904E9"/>
    <w:rsid w:val="00992036"/>
    <w:rsid w:val="00992564"/>
    <w:rsid w:val="00996A30"/>
    <w:rsid w:val="009979C0"/>
    <w:rsid w:val="00997B3F"/>
    <w:rsid w:val="009A1B54"/>
    <w:rsid w:val="009A3188"/>
    <w:rsid w:val="009A369A"/>
    <w:rsid w:val="009A5211"/>
    <w:rsid w:val="009A6D8C"/>
    <w:rsid w:val="009B0471"/>
    <w:rsid w:val="009B3870"/>
    <w:rsid w:val="009B3B96"/>
    <w:rsid w:val="009B6F45"/>
    <w:rsid w:val="009C1B41"/>
    <w:rsid w:val="009C298D"/>
    <w:rsid w:val="009C2F63"/>
    <w:rsid w:val="009C3756"/>
    <w:rsid w:val="009C620B"/>
    <w:rsid w:val="009D03B6"/>
    <w:rsid w:val="009D1C72"/>
    <w:rsid w:val="009D24B0"/>
    <w:rsid w:val="009D2D5E"/>
    <w:rsid w:val="009E0405"/>
    <w:rsid w:val="009E1371"/>
    <w:rsid w:val="009E375F"/>
    <w:rsid w:val="009E3812"/>
    <w:rsid w:val="009E4802"/>
    <w:rsid w:val="009E4A40"/>
    <w:rsid w:val="009F2042"/>
    <w:rsid w:val="009F2802"/>
    <w:rsid w:val="009F2EBD"/>
    <w:rsid w:val="009F59ED"/>
    <w:rsid w:val="009F747D"/>
    <w:rsid w:val="009F7B26"/>
    <w:rsid w:val="00A00019"/>
    <w:rsid w:val="00A00AC7"/>
    <w:rsid w:val="00A030F0"/>
    <w:rsid w:val="00A05D58"/>
    <w:rsid w:val="00A0634F"/>
    <w:rsid w:val="00A07A4A"/>
    <w:rsid w:val="00A07B84"/>
    <w:rsid w:val="00A07FBB"/>
    <w:rsid w:val="00A11C44"/>
    <w:rsid w:val="00A1221D"/>
    <w:rsid w:val="00A12750"/>
    <w:rsid w:val="00A13270"/>
    <w:rsid w:val="00A13761"/>
    <w:rsid w:val="00A1615B"/>
    <w:rsid w:val="00A1668B"/>
    <w:rsid w:val="00A16F83"/>
    <w:rsid w:val="00A177F0"/>
    <w:rsid w:val="00A211D3"/>
    <w:rsid w:val="00A220AB"/>
    <w:rsid w:val="00A25AC0"/>
    <w:rsid w:val="00A3323E"/>
    <w:rsid w:val="00A35058"/>
    <w:rsid w:val="00A36C70"/>
    <w:rsid w:val="00A36F32"/>
    <w:rsid w:val="00A37E3A"/>
    <w:rsid w:val="00A40CC9"/>
    <w:rsid w:val="00A416FE"/>
    <w:rsid w:val="00A421D4"/>
    <w:rsid w:val="00A42E72"/>
    <w:rsid w:val="00A43BBA"/>
    <w:rsid w:val="00A45BF3"/>
    <w:rsid w:val="00A45DE2"/>
    <w:rsid w:val="00A515E7"/>
    <w:rsid w:val="00A52FC5"/>
    <w:rsid w:val="00A54508"/>
    <w:rsid w:val="00A56487"/>
    <w:rsid w:val="00A56766"/>
    <w:rsid w:val="00A57377"/>
    <w:rsid w:val="00A579C4"/>
    <w:rsid w:val="00A60B59"/>
    <w:rsid w:val="00A61491"/>
    <w:rsid w:val="00A62788"/>
    <w:rsid w:val="00A63A23"/>
    <w:rsid w:val="00A67AA6"/>
    <w:rsid w:val="00A67BFB"/>
    <w:rsid w:val="00A67D81"/>
    <w:rsid w:val="00A71BE7"/>
    <w:rsid w:val="00A72294"/>
    <w:rsid w:val="00A748F9"/>
    <w:rsid w:val="00A762FB"/>
    <w:rsid w:val="00A7781C"/>
    <w:rsid w:val="00A8001B"/>
    <w:rsid w:val="00A8180D"/>
    <w:rsid w:val="00A81C22"/>
    <w:rsid w:val="00A85853"/>
    <w:rsid w:val="00A86964"/>
    <w:rsid w:val="00A86F24"/>
    <w:rsid w:val="00A86F88"/>
    <w:rsid w:val="00A87CC1"/>
    <w:rsid w:val="00A91D53"/>
    <w:rsid w:val="00A93116"/>
    <w:rsid w:val="00A938C0"/>
    <w:rsid w:val="00A955B3"/>
    <w:rsid w:val="00A96020"/>
    <w:rsid w:val="00A96C7F"/>
    <w:rsid w:val="00AA10AF"/>
    <w:rsid w:val="00AA1487"/>
    <w:rsid w:val="00AA19BB"/>
    <w:rsid w:val="00AA2C59"/>
    <w:rsid w:val="00AA492F"/>
    <w:rsid w:val="00AA4F76"/>
    <w:rsid w:val="00AA6886"/>
    <w:rsid w:val="00AB09AB"/>
    <w:rsid w:val="00AB5096"/>
    <w:rsid w:val="00AB5260"/>
    <w:rsid w:val="00AC0DD0"/>
    <w:rsid w:val="00AC20BF"/>
    <w:rsid w:val="00AC3B0D"/>
    <w:rsid w:val="00AC4895"/>
    <w:rsid w:val="00AC6293"/>
    <w:rsid w:val="00AC7C34"/>
    <w:rsid w:val="00AD0345"/>
    <w:rsid w:val="00AD1663"/>
    <w:rsid w:val="00AD1EEA"/>
    <w:rsid w:val="00AD262B"/>
    <w:rsid w:val="00AD2693"/>
    <w:rsid w:val="00AD282B"/>
    <w:rsid w:val="00AD43B2"/>
    <w:rsid w:val="00AD5779"/>
    <w:rsid w:val="00AD5C53"/>
    <w:rsid w:val="00AD5D9C"/>
    <w:rsid w:val="00AD6492"/>
    <w:rsid w:val="00AD7713"/>
    <w:rsid w:val="00AE4587"/>
    <w:rsid w:val="00AE55B4"/>
    <w:rsid w:val="00AE58F6"/>
    <w:rsid w:val="00AE64F4"/>
    <w:rsid w:val="00AE683F"/>
    <w:rsid w:val="00AE70CF"/>
    <w:rsid w:val="00AE771C"/>
    <w:rsid w:val="00AF165F"/>
    <w:rsid w:val="00AF4051"/>
    <w:rsid w:val="00AF5623"/>
    <w:rsid w:val="00AF5CC8"/>
    <w:rsid w:val="00B00758"/>
    <w:rsid w:val="00B0117F"/>
    <w:rsid w:val="00B03EA7"/>
    <w:rsid w:val="00B04C28"/>
    <w:rsid w:val="00B05B08"/>
    <w:rsid w:val="00B05B4D"/>
    <w:rsid w:val="00B062B8"/>
    <w:rsid w:val="00B10FF5"/>
    <w:rsid w:val="00B114C6"/>
    <w:rsid w:val="00B1189E"/>
    <w:rsid w:val="00B12539"/>
    <w:rsid w:val="00B13E09"/>
    <w:rsid w:val="00B156D7"/>
    <w:rsid w:val="00B15FAC"/>
    <w:rsid w:val="00B164D9"/>
    <w:rsid w:val="00B170E6"/>
    <w:rsid w:val="00B17CE8"/>
    <w:rsid w:val="00B20B4D"/>
    <w:rsid w:val="00B22759"/>
    <w:rsid w:val="00B236E2"/>
    <w:rsid w:val="00B24EA7"/>
    <w:rsid w:val="00B315D0"/>
    <w:rsid w:val="00B321A9"/>
    <w:rsid w:val="00B3332F"/>
    <w:rsid w:val="00B33752"/>
    <w:rsid w:val="00B351AE"/>
    <w:rsid w:val="00B36B71"/>
    <w:rsid w:val="00B40163"/>
    <w:rsid w:val="00B426CB"/>
    <w:rsid w:val="00B434A7"/>
    <w:rsid w:val="00B50FF9"/>
    <w:rsid w:val="00B51758"/>
    <w:rsid w:val="00B5220C"/>
    <w:rsid w:val="00B53056"/>
    <w:rsid w:val="00B534F3"/>
    <w:rsid w:val="00B54B5E"/>
    <w:rsid w:val="00B54CDA"/>
    <w:rsid w:val="00B54E82"/>
    <w:rsid w:val="00B56585"/>
    <w:rsid w:val="00B57AEA"/>
    <w:rsid w:val="00B63315"/>
    <w:rsid w:val="00B66183"/>
    <w:rsid w:val="00B70DAE"/>
    <w:rsid w:val="00B70DAF"/>
    <w:rsid w:val="00B71DB3"/>
    <w:rsid w:val="00B7385A"/>
    <w:rsid w:val="00B73BD4"/>
    <w:rsid w:val="00B75353"/>
    <w:rsid w:val="00B76520"/>
    <w:rsid w:val="00B7727F"/>
    <w:rsid w:val="00B7771B"/>
    <w:rsid w:val="00B82FE5"/>
    <w:rsid w:val="00B83164"/>
    <w:rsid w:val="00B8491F"/>
    <w:rsid w:val="00B8532F"/>
    <w:rsid w:val="00B85696"/>
    <w:rsid w:val="00B87756"/>
    <w:rsid w:val="00B90C5D"/>
    <w:rsid w:val="00B90F1B"/>
    <w:rsid w:val="00B92A94"/>
    <w:rsid w:val="00B938D0"/>
    <w:rsid w:val="00B94FAE"/>
    <w:rsid w:val="00B953DF"/>
    <w:rsid w:val="00B959E0"/>
    <w:rsid w:val="00B96E11"/>
    <w:rsid w:val="00B97528"/>
    <w:rsid w:val="00BA00BF"/>
    <w:rsid w:val="00BA033E"/>
    <w:rsid w:val="00BA1D01"/>
    <w:rsid w:val="00BA2519"/>
    <w:rsid w:val="00BA3DE9"/>
    <w:rsid w:val="00BA486F"/>
    <w:rsid w:val="00BA618F"/>
    <w:rsid w:val="00BB2123"/>
    <w:rsid w:val="00BB2148"/>
    <w:rsid w:val="00BB311B"/>
    <w:rsid w:val="00BB59A9"/>
    <w:rsid w:val="00BB79F1"/>
    <w:rsid w:val="00BB7A74"/>
    <w:rsid w:val="00BB7C5F"/>
    <w:rsid w:val="00BC0E9D"/>
    <w:rsid w:val="00BC283D"/>
    <w:rsid w:val="00BD1457"/>
    <w:rsid w:val="00BD21AB"/>
    <w:rsid w:val="00BD3056"/>
    <w:rsid w:val="00BD4AD4"/>
    <w:rsid w:val="00BD4FCB"/>
    <w:rsid w:val="00BD65AE"/>
    <w:rsid w:val="00BE0A36"/>
    <w:rsid w:val="00BE0DC8"/>
    <w:rsid w:val="00BE1154"/>
    <w:rsid w:val="00BE2C91"/>
    <w:rsid w:val="00BE5792"/>
    <w:rsid w:val="00BE64FC"/>
    <w:rsid w:val="00BE6C59"/>
    <w:rsid w:val="00BF0DA7"/>
    <w:rsid w:val="00BF1178"/>
    <w:rsid w:val="00BF2847"/>
    <w:rsid w:val="00BF3DEA"/>
    <w:rsid w:val="00BF586F"/>
    <w:rsid w:val="00BF68A8"/>
    <w:rsid w:val="00BF74F4"/>
    <w:rsid w:val="00C027D2"/>
    <w:rsid w:val="00C056BA"/>
    <w:rsid w:val="00C07FC7"/>
    <w:rsid w:val="00C1479E"/>
    <w:rsid w:val="00C20AB1"/>
    <w:rsid w:val="00C21CC4"/>
    <w:rsid w:val="00C250B6"/>
    <w:rsid w:val="00C2623B"/>
    <w:rsid w:val="00C27620"/>
    <w:rsid w:val="00C311E3"/>
    <w:rsid w:val="00C31DAC"/>
    <w:rsid w:val="00C31E78"/>
    <w:rsid w:val="00C329BC"/>
    <w:rsid w:val="00C33AED"/>
    <w:rsid w:val="00C33D64"/>
    <w:rsid w:val="00C348BD"/>
    <w:rsid w:val="00C34F10"/>
    <w:rsid w:val="00C353BB"/>
    <w:rsid w:val="00C35F76"/>
    <w:rsid w:val="00C36185"/>
    <w:rsid w:val="00C363F9"/>
    <w:rsid w:val="00C3650F"/>
    <w:rsid w:val="00C40D5F"/>
    <w:rsid w:val="00C410C6"/>
    <w:rsid w:val="00C41804"/>
    <w:rsid w:val="00C41D9F"/>
    <w:rsid w:val="00C45A9D"/>
    <w:rsid w:val="00C46C34"/>
    <w:rsid w:val="00C51667"/>
    <w:rsid w:val="00C52A1E"/>
    <w:rsid w:val="00C55F43"/>
    <w:rsid w:val="00C569BB"/>
    <w:rsid w:val="00C62A94"/>
    <w:rsid w:val="00C6478F"/>
    <w:rsid w:val="00C65AFE"/>
    <w:rsid w:val="00C73369"/>
    <w:rsid w:val="00C744B6"/>
    <w:rsid w:val="00C74926"/>
    <w:rsid w:val="00C758C3"/>
    <w:rsid w:val="00C77F95"/>
    <w:rsid w:val="00C80376"/>
    <w:rsid w:val="00C82527"/>
    <w:rsid w:val="00C83758"/>
    <w:rsid w:val="00C8577D"/>
    <w:rsid w:val="00C879A1"/>
    <w:rsid w:val="00C90B85"/>
    <w:rsid w:val="00C93D58"/>
    <w:rsid w:val="00C94EB3"/>
    <w:rsid w:val="00C961B2"/>
    <w:rsid w:val="00C979A3"/>
    <w:rsid w:val="00C979F3"/>
    <w:rsid w:val="00C97AFE"/>
    <w:rsid w:val="00CA126A"/>
    <w:rsid w:val="00CA5D0B"/>
    <w:rsid w:val="00CA61BF"/>
    <w:rsid w:val="00CA6238"/>
    <w:rsid w:val="00CA6293"/>
    <w:rsid w:val="00CA697A"/>
    <w:rsid w:val="00CA6E33"/>
    <w:rsid w:val="00CB3E2F"/>
    <w:rsid w:val="00CB58B5"/>
    <w:rsid w:val="00CB5E7F"/>
    <w:rsid w:val="00CB66FF"/>
    <w:rsid w:val="00CB6875"/>
    <w:rsid w:val="00CB794B"/>
    <w:rsid w:val="00CC07E9"/>
    <w:rsid w:val="00CC2714"/>
    <w:rsid w:val="00CC35B6"/>
    <w:rsid w:val="00CC3D88"/>
    <w:rsid w:val="00CC4810"/>
    <w:rsid w:val="00CC5900"/>
    <w:rsid w:val="00CD0DAC"/>
    <w:rsid w:val="00CD1905"/>
    <w:rsid w:val="00CD2EF6"/>
    <w:rsid w:val="00CD3AF4"/>
    <w:rsid w:val="00CD3D21"/>
    <w:rsid w:val="00CE006A"/>
    <w:rsid w:val="00CE2B13"/>
    <w:rsid w:val="00CE45FE"/>
    <w:rsid w:val="00CE5085"/>
    <w:rsid w:val="00CE6772"/>
    <w:rsid w:val="00CE7FC9"/>
    <w:rsid w:val="00CF0A7A"/>
    <w:rsid w:val="00CF157E"/>
    <w:rsid w:val="00CF206C"/>
    <w:rsid w:val="00CF2278"/>
    <w:rsid w:val="00CF3542"/>
    <w:rsid w:val="00CF5C5C"/>
    <w:rsid w:val="00D0041D"/>
    <w:rsid w:val="00D02545"/>
    <w:rsid w:val="00D03D07"/>
    <w:rsid w:val="00D04000"/>
    <w:rsid w:val="00D050BC"/>
    <w:rsid w:val="00D057FA"/>
    <w:rsid w:val="00D07197"/>
    <w:rsid w:val="00D07573"/>
    <w:rsid w:val="00D11179"/>
    <w:rsid w:val="00D124BC"/>
    <w:rsid w:val="00D1482A"/>
    <w:rsid w:val="00D1674E"/>
    <w:rsid w:val="00D17499"/>
    <w:rsid w:val="00D17750"/>
    <w:rsid w:val="00D17900"/>
    <w:rsid w:val="00D205BF"/>
    <w:rsid w:val="00D226E4"/>
    <w:rsid w:val="00D23D6E"/>
    <w:rsid w:val="00D24F3B"/>
    <w:rsid w:val="00D2520B"/>
    <w:rsid w:val="00D26243"/>
    <w:rsid w:val="00D33122"/>
    <w:rsid w:val="00D34D32"/>
    <w:rsid w:val="00D35BAB"/>
    <w:rsid w:val="00D37ABF"/>
    <w:rsid w:val="00D4175A"/>
    <w:rsid w:val="00D41C83"/>
    <w:rsid w:val="00D41CCF"/>
    <w:rsid w:val="00D4363F"/>
    <w:rsid w:val="00D43A06"/>
    <w:rsid w:val="00D508B9"/>
    <w:rsid w:val="00D51474"/>
    <w:rsid w:val="00D51D5D"/>
    <w:rsid w:val="00D53D14"/>
    <w:rsid w:val="00D53F2B"/>
    <w:rsid w:val="00D57111"/>
    <w:rsid w:val="00D57B8E"/>
    <w:rsid w:val="00D620E6"/>
    <w:rsid w:val="00D62A21"/>
    <w:rsid w:val="00D63EA7"/>
    <w:rsid w:val="00D6419B"/>
    <w:rsid w:val="00D653F0"/>
    <w:rsid w:val="00D65B5A"/>
    <w:rsid w:val="00D725A1"/>
    <w:rsid w:val="00D72784"/>
    <w:rsid w:val="00D72B88"/>
    <w:rsid w:val="00D74B92"/>
    <w:rsid w:val="00D82667"/>
    <w:rsid w:val="00D840A6"/>
    <w:rsid w:val="00D93B9A"/>
    <w:rsid w:val="00D94965"/>
    <w:rsid w:val="00D96ADA"/>
    <w:rsid w:val="00D96DF4"/>
    <w:rsid w:val="00DA01D1"/>
    <w:rsid w:val="00DA22FA"/>
    <w:rsid w:val="00DA244A"/>
    <w:rsid w:val="00DA4235"/>
    <w:rsid w:val="00DA6F4C"/>
    <w:rsid w:val="00DA7017"/>
    <w:rsid w:val="00DB18D4"/>
    <w:rsid w:val="00DB7C3A"/>
    <w:rsid w:val="00DC2240"/>
    <w:rsid w:val="00DC411E"/>
    <w:rsid w:val="00DC5715"/>
    <w:rsid w:val="00DC609B"/>
    <w:rsid w:val="00DD1D9C"/>
    <w:rsid w:val="00DD21A0"/>
    <w:rsid w:val="00DD3A89"/>
    <w:rsid w:val="00DD58A8"/>
    <w:rsid w:val="00DE0919"/>
    <w:rsid w:val="00DE11C2"/>
    <w:rsid w:val="00DE1EC4"/>
    <w:rsid w:val="00DE28A7"/>
    <w:rsid w:val="00DE345C"/>
    <w:rsid w:val="00DE4F80"/>
    <w:rsid w:val="00DE51AC"/>
    <w:rsid w:val="00DE56C7"/>
    <w:rsid w:val="00DE660E"/>
    <w:rsid w:val="00DE670E"/>
    <w:rsid w:val="00DE6A52"/>
    <w:rsid w:val="00DE795F"/>
    <w:rsid w:val="00DF1F7A"/>
    <w:rsid w:val="00DF2D05"/>
    <w:rsid w:val="00DF55FE"/>
    <w:rsid w:val="00DF68A3"/>
    <w:rsid w:val="00DF6AA4"/>
    <w:rsid w:val="00DF7663"/>
    <w:rsid w:val="00E025CF"/>
    <w:rsid w:val="00E02D6C"/>
    <w:rsid w:val="00E038F6"/>
    <w:rsid w:val="00E0406B"/>
    <w:rsid w:val="00E05CC4"/>
    <w:rsid w:val="00E06373"/>
    <w:rsid w:val="00E07576"/>
    <w:rsid w:val="00E10AD5"/>
    <w:rsid w:val="00E1195A"/>
    <w:rsid w:val="00E14057"/>
    <w:rsid w:val="00E15044"/>
    <w:rsid w:val="00E160A6"/>
    <w:rsid w:val="00E168B4"/>
    <w:rsid w:val="00E17881"/>
    <w:rsid w:val="00E178A9"/>
    <w:rsid w:val="00E2150A"/>
    <w:rsid w:val="00E2372A"/>
    <w:rsid w:val="00E24978"/>
    <w:rsid w:val="00E24ED9"/>
    <w:rsid w:val="00E27F6C"/>
    <w:rsid w:val="00E323E5"/>
    <w:rsid w:val="00E32DA3"/>
    <w:rsid w:val="00E333B1"/>
    <w:rsid w:val="00E364F8"/>
    <w:rsid w:val="00E36BA3"/>
    <w:rsid w:val="00E36F7D"/>
    <w:rsid w:val="00E37E4B"/>
    <w:rsid w:val="00E40DC6"/>
    <w:rsid w:val="00E42F92"/>
    <w:rsid w:val="00E43168"/>
    <w:rsid w:val="00E4376B"/>
    <w:rsid w:val="00E45BD9"/>
    <w:rsid w:val="00E52473"/>
    <w:rsid w:val="00E53ED0"/>
    <w:rsid w:val="00E55B09"/>
    <w:rsid w:val="00E57844"/>
    <w:rsid w:val="00E627C4"/>
    <w:rsid w:val="00E62DB8"/>
    <w:rsid w:val="00E6703C"/>
    <w:rsid w:val="00E708D8"/>
    <w:rsid w:val="00E70925"/>
    <w:rsid w:val="00E7441B"/>
    <w:rsid w:val="00E74EA5"/>
    <w:rsid w:val="00E767B9"/>
    <w:rsid w:val="00E80760"/>
    <w:rsid w:val="00E80DAA"/>
    <w:rsid w:val="00E83861"/>
    <w:rsid w:val="00E8421E"/>
    <w:rsid w:val="00E85DDF"/>
    <w:rsid w:val="00E92B7A"/>
    <w:rsid w:val="00E92C08"/>
    <w:rsid w:val="00E94DA0"/>
    <w:rsid w:val="00E95CC6"/>
    <w:rsid w:val="00EA2AA4"/>
    <w:rsid w:val="00EA38A8"/>
    <w:rsid w:val="00EA581A"/>
    <w:rsid w:val="00EB0CD4"/>
    <w:rsid w:val="00EB243C"/>
    <w:rsid w:val="00EB2497"/>
    <w:rsid w:val="00EB4E9E"/>
    <w:rsid w:val="00EB4FA4"/>
    <w:rsid w:val="00EB66C8"/>
    <w:rsid w:val="00EB66F0"/>
    <w:rsid w:val="00EB7237"/>
    <w:rsid w:val="00EC5952"/>
    <w:rsid w:val="00EC60FA"/>
    <w:rsid w:val="00EC6800"/>
    <w:rsid w:val="00EC6992"/>
    <w:rsid w:val="00EC74D9"/>
    <w:rsid w:val="00EC7952"/>
    <w:rsid w:val="00EC7C37"/>
    <w:rsid w:val="00ED1BDB"/>
    <w:rsid w:val="00ED1CE5"/>
    <w:rsid w:val="00ED563B"/>
    <w:rsid w:val="00ED5DE9"/>
    <w:rsid w:val="00ED7449"/>
    <w:rsid w:val="00EE40EA"/>
    <w:rsid w:val="00EE7C0D"/>
    <w:rsid w:val="00EF12D9"/>
    <w:rsid w:val="00EF1FE3"/>
    <w:rsid w:val="00EF24CD"/>
    <w:rsid w:val="00EF4ACC"/>
    <w:rsid w:val="00EF519C"/>
    <w:rsid w:val="00EF6753"/>
    <w:rsid w:val="00F010F3"/>
    <w:rsid w:val="00F0356A"/>
    <w:rsid w:val="00F07980"/>
    <w:rsid w:val="00F07A1B"/>
    <w:rsid w:val="00F11D2C"/>
    <w:rsid w:val="00F14817"/>
    <w:rsid w:val="00F15681"/>
    <w:rsid w:val="00F16B23"/>
    <w:rsid w:val="00F16ECE"/>
    <w:rsid w:val="00F238CA"/>
    <w:rsid w:val="00F23F31"/>
    <w:rsid w:val="00F3050A"/>
    <w:rsid w:val="00F321D7"/>
    <w:rsid w:val="00F329FA"/>
    <w:rsid w:val="00F3301C"/>
    <w:rsid w:val="00F3474F"/>
    <w:rsid w:val="00F35E42"/>
    <w:rsid w:val="00F371FD"/>
    <w:rsid w:val="00F401EF"/>
    <w:rsid w:val="00F4172D"/>
    <w:rsid w:val="00F43DC0"/>
    <w:rsid w:val="00F43FD2"/>
    <w:rsid w:val="00F45084"/>
    <w:rsid w:val="00F50B3E"/>
    <w:rsid w:val="00F5104C"/>
    <w:rsid w:val="00F519F7"/>
    <w:rsid w:val="00F55DC1"/>
    <w:rsid w:val="00F57D61"/>
    <w:rsid w:val="00F57E2A"/>
    <w:rsid w:val="00F637B0"/>
    <w:rsid w:val="00F6383C"/>
    <w:rsid w:val="00F671E1"/>
    <w:rsid w:val="00F67E79"/>
    <w:rsid w:val="00F70252"/>
    <w:rsid w:val="00F70C39"/>
    <w:rsid w:val="00F713A9"/>
    <w:rsid w:val="00F71445"/>
    <w:rsid w:val="00F718B5"/>
    <w:rsid w:val="00F725D5"/>
    <w:rsid w:val="00F72FC8"/>
    <w:rsid w:val="00F73705"/>
    <w:rsid w:val="00F7571C"/>
    <w:rsid w:val="00F76E65"/>
    <w:rsid w:val="00F76F0C"/>
    <w:rsid w:val="00F779B8"/>
    <w:rsid w:val="00F77F15"/>
    <w:rsid w:val="00F827DC"/>
    <w:rsid w:val="00F83970"/>
    <w:rsid w:val="00F85D74"/>
    <w:rsid w:val="00F867A0"/>
    <w:rsid w:val="00F86AF1"/>
    <w:rsid w:val="00F86C9B"/>
    <w:rsid w:val="00F86F76"/>
    <w:rsid w:val="00F90F83"/>
    <w:rsid w:val="00F9189B"/>
    <w:rsid w:val="00F91FE1"/>
    <w:rsid w:val="00F95F94"/>
    <w:rsid w:val="00FA0F56"/>
    <w:rsid w:val="00FA158B"/>
    <w:rsid w:val="00FA1DDE"/>
    <w:rsid w:val="00FA1E6B"/>
    <w:rsid w:val="00FA35C9"/>
    <w:rsid w:val="00FB0F2F"/>
    <w:rsid w:val="00FB2FE1"/>
    <w:rsid w:val="00FB301A"/>
    <w:rsid w:val="00FB4E3B"/>
    <w:rsid w:val="00FB5F99"/>
    <w:rsid w:val="00FC0008"/>
    <w:rsid w:val="00FC090B"/>
    <w:rsid w:val="00FC1B09"/>
    <w:rsid w:val="00FC55E8"/>
    <w:rsid w:val="00FC7107"/>
    <w:rsid w:val="00FD0203"/>
    <w:rsid w:val="00FD024C"/>
    <w:rsid w:val="00FD05CE"/>
    <w:rsid w:val="00FD25F2"/>
    <w:rsid w:val="00FD30D2"/>
    <w:rsid w:val="00FD363D"/>
    <w:rsid w:val="00FD6495"/>
    <w:rsid w:val="00FE0239"/>
    <w:rsid w:val="00FE14F9"/>
    <w:rsid w:val="00FE1A7F"/>
    <w:rsid w:val="00FE2E38"/>
    <w:rsid w:val="00FE315B"/>
    <w:rsid w:val="00FE32FF"/>
    <w:rsid w:val="00FF027C"/>
    <w:rsid w:val="00FF0383"/>
    <w:rsid w:val="00FF42BD"/>
    <w:rsid w:val="00FF492D"/>
    <w:rsid w:val="00FF7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8FC3"/>
  <w15:docId w15:val="{D60366E8-7F9E-420B-AA58-DAFC6F65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4E9E"/>
  </w:style>
  <w:style w:type="paragraph" w:styleId="Heading3">
    <w:name w:val="heading 3"/>
    <w:basedOn w:val="Normal"/>
    <w:link w:val="Heading3Char"/>
    <w:uiPriority w:val="9"/>
    <w:qFormat/>
    <w:rsid w:val="00A07FB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703C"/>
  </w:style>
  <w:style w:type="paragraph" w:styleId="NormalWeb">
    <w:name w:val="Normal (Web)"/>
    <w:basedOn w:val="Normal"/>
    <w:uiPriority w:val="99"/>
    <w:semiHidden/>
    <w:unhideWhenUsed/>
    <w:rsid w:val="00B15F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B15FA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5FAC"/>
  </w:style>
  <w:style w:type="paragraph" w:styleId="Footer">
    <w:name w:val="footer"/>
    <w:basedOn w:val="Normal"/>
    <w:link w:val="FooterChar"/>
    <w:uiPriority w:val="99"/>
    <w:unhideWhenUsed/>
    <w:rsid w:val="00B15FA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5FAC"/>
  </w:style>
  <w:style w:type="paragraph" w:styleId="ListParagraph">
    <w:name w:val="List Paragraph"/>
    <w:basedOn w:val="Normal"/>
    <w:uiPriority w:val="34"/>
    <w:qFormat/>
    <w:rsid w:val="00A61491"/>
    <w:pPr>
      <w:spacing w:after="0" w:line="240" w:lineRule="auto"/>
      <w:ind w:left="720"/>
      <w:contextualSpacing/>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A211D3"/>
    <w:rPr>
      <w:b/>
      <w:bCs/>
    </w:rPr>
  </w:style>
  <w:style w:type="character" w:styleId="Hyperlink">
    <w:name w:val="Hyperlink"/>
    <w:basedOn w:val="DefaultParagraphFont"/>
    <w:uiPriority w:val="99"/>
    <w:semiHidden/>
    <w:unhideWhenUsed/>
    <w:rsid w:val="004A54C1"/>
    <w:rPr>
      <w:color w:val="0000FF"/>
      <w:u w:val="single"/>
    </w:rPr>
  </w:style>
  <w:style w:type="character" w:styleId="Emphasis">
    <w:name w:val="Emphasis"/>
    <w:basedOn w:val="DefaultParagraphFont"/>
    <w:uiPriority w:val="20"/>
    <w:qFormat/>
    <w:rsid w:val="00390F9E"/>
    <w:rPr>
      <w:i/>
      <w:iCs/>
    </w:rPr>
  </w:style>
  <w:style w:type="paragraph" w:styleId="BalloonText">
    <w:name w:val="Balloon Text"/>
    <w:basedOn w:val="Normal"/>
    <w:link w:val="BalloonTextChar"/>
    <w:uiPriority w:val="99"/>
    <w:semiHidden/>
    <w:unhideWhenUsed/>
    <w:rsid w:val="00693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EEC"/>
    <w:rPr>
      <w:rFonts w:ascii="Segoe UI" w:hAnsi="Segoe UI" w:cs="Segoe UI"/>
      <w:sz w:val="18"/>
      <w:szCs w:val="18"/>
    </w:rPr>
  </w:style>
  <w:style w:type="character" w:customStyle="1" w:styleId="Heading3Char">
    <w:name w:val="Heading 3 Char"/>
    <w:basedOn w:val="DefaultParagraphFont"/>
    <w:link w:val="Heading3"/>
    <w:uiPriority w:val="9"/>
    <w:rsid w:val="00A07FBB"/>
    <w:rPr>
      <w:rFonts w:ascii="Times New Roman" w:eastAsia="Times New Roman" w:hAnsi="Times New Roman" w:cs="Times New Roman"/>
      <w:b/>
      <w:bCs/>
      <w:sz w:val="27"/>
      <w:szCs w:val="27"/>
      <w:lang w:eastAsia="tr-TR"/>
    </w:rPr>
  </w:style>
  <w:style w:type="character" w:customStyle="1" w:styleId="gd">
    <w:name w:val="gd"/>
    <w:basedOn w:val="DefaultParagraphFont"/>
    <w:rsid w:val="00A07FBB"/>
  </w:style>
  <w:style w:type="character" w:customStyle="1" w:styleId="go">
    <w:name w:val="go"/>
    <w:basedOn w:val="DefaultParagraphFont"/>
    <w:rsid w:val="00A07FBB"/>
  </w:style>
  <w:style w:type="character" w:customStyle="1" w:styleId="g3">
    <w:name w:val="g3"/>
    <w:basedOn w:val="DefaultParagraphFont"/>
    <w:rsid w:val="00A07FBB"/>
  </w:style>
  <w:style w:type="character" w:customStyle="1" w:styleId="hb">
    <w:name w:val="hb"/>
    <w:basedOn w:val="DefaultParagraphFont"/>
    <w:rsid w:val="00A07FBB"/>
  </w:style>
  <w:style w:type="character" w:customStyle="1" w:styleId="g2">
    <w:name w:val="g2"/>
    <w:basedOn w:val="DefaultParagraphFont"/>
    <w:rsid w:val="00A07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684">
      <w:bodyDiv w:val="1"/>
      <w:marLeft w:val="0"/>
      <w:marRight w:val="0"/>
      <w:marTop w:val="0"/>
      <w:marBottom w:val="0"/>
      <w:divBdr>
        <w:top w:val="none" w:sz="0" w:space="0" w:color="auto"/>
        <w:left w:val="none" w:sz="0" w:space="0" w:color="auto"/>
        <w:bottom w:val="none" w:sz="0" w:space="0" w:color="auto"/>
        <w:right w:val="none" w:sz="0" w:space="0" w:color="auto"/>
      </w:divBdr>
    </w:div>
    <w:div w:id="43456241">
      <w:bodyDiv w:val="1"/>
      <w:marLeft w:val="0"/>
      <w:marRight w:val="0"/>
      <w:marTop w:val="0"/>
      <w:marBottom w:val="0"/>
      <w:divBdr>
        <w:top w:val="none" w:sz="0" w:space="0" w:color="auto"/>
        <w:left w:val="none" w:sz="0" w:space="0" w:color="auto"/>
        <w:bottom w:val="none" w:sz="0" w:space="0" w:color="auto"/>
        <w:right w:val="none" w:sz="0" w:space="0" w:color="auto"/>
      </w:divBdr>
    </w:div>
    <w:div w:id="113141884">
      <w:bodyDiv w:val="1"/>
      <w:marLeft w:val="0"/>
      <w:marRight w:val="0"/>
      <w:marTop w:val="0"/>
      <w:marBottom w:val="0"/>
      <w:divBdr>
        <w:top w:val="none" w:sz="0" w:space="0" w:color="auto"/>
        <w:left w:val="none" w:sz="0" w:space="0" w:color="auto"/>
        <w:bottom w:val="none" w:sz="0" w:space="0" w:color="auto"/>
        <w:right w:val="none" w:sz="0" w:space="0" w:color="auto"/>
      </w:divBdr>
    </w:div>
    <w:div w:id="115294255">
      <w:bodyDiv w:val="1"/>
      <w:marLeft w:val="0"/>
      <w:marRight w:val="0"/>
      <w:marTop w:val="0"/>
      <w:marBottom w:val="0"/>
      <w:divBdr>
        <w:top w:val="none" w:sz="0" w:space="0" w:color="auto"/>
        <w:left w:val="none" w:sz="0" w:space="0" w:color="auto"/>
        <w:bottom w:val="none" w:sz="0" w:space="0" w:color="auto"/>
        <w:right w:val="none" w:sz="0" w:space="0" w:color="auto"/>
      </w:divBdr>
      <w:divsChild>
        <w:div w:id="690912131">
          <w:marLeft w:val="547"/>
          <w:marRight w:val="0"/>
          <w:marTop w:val="115"/>
          <w:marBottom w:val="0"/>
          <w:divBdr>
            <w:top w:val="none" w:sz="0" w:space="0" w:color="auto"/>
            <w:left w:val="none" w:sz="0" w:space="0" w:color="auto"/>
            <w:bottom w:val="none" w:sz="0" w:space="0" w:color="auto"/>
            <w:right w:val="none" w:sz="0" w:space="0" w:color="auto"/>
          </w:divBdr>
        </w:div>
      </w:divsChild>
    </w:div>
    <w:div w:id="123013149">
      <w:bodyDiv w:val="1"/>
      <w:marLeft w:val="0"/>
      <w:marRight w:val="0"/>
      <w:marTop w:val="0"/>
      <w:marBottom w:val="0"/>
      <w:divBdr>
        <w:top w:val="none" w:sz="0" w:space="0" w:color="auto"/>
        <w:left w:val="none" w:sz="0" w:space="0" w:color="auto"/>
        <w:bottom w:val="none" w:sz="0" w:space="0" w:color="auto"/>
        <w:right w:val="none" w:sz="0" w:space="0" w:color="auto"/>
      </w:divBdr>
    </w:div>
    <w:div w:id="123930066">
      <w:bodyDiv w:val="1"/>
      <w:marLeft w:val="0"/>
      <w:marRight w:val="0"/>
      <w:marTop w:val="0"/>
      <w:marBottom w:val="0"/>
      <w:divBdr>
        <w:top w:val="none" w:sz="0" w:space="0" w:color="auto"/>
        <w:left w:val="none" w:sz="0" w:space="0" w:color="auto"/>
        <w:bottom w:val="none" w:sz="0" w:space="0" w:color="auto"/>
        <w:right w:val="none" w:sz="0" w:space="0" w:color="auto"/>
      </w:divBdr>
    </w:div>
    <w:div w:id="124665454">
      <w:bodyDiv w:val="1"/>
      <w:marLeft w:val="0"/>
      <w:marRight w:val="0"/>
      <w:marTop w:val="0"/>
      <w:marBottom w:val="0"/>
      <w:divBdr>
        <w:top w:val="none" w:sz="0" w:space="0" w:color="auto"/>
        <w:left w:val="none" w:sz="0" w:space="0" w:color="auto"/>
        <w:bottom w:val="none" w:sz="0" w:space="0" w:color="auto"/>
        <w:right w:val="none" w:sz="0" w:space="0" w:color="auto"/>
      </w:divBdr>
    </w:div>
    <w:div w:id="187840346">
      <w:bodyDiv w:val="1"/>
      <w:marLeft w:val="0"/>
      <w:marRight w:val="0"/>
      <w:marTop w:val="0"/>
      <w:marBottom w:val="0"/>
      <w:divBdr>
        <w:top w:val="none" w:sz="0" w:space="0" w:color="auto"/>
        <w:left w:val="none" w:sz="0" w:space="0" w:color="auto"/>
        <w:bottom w:val="none" w:sz="0" w:space="0" w:color="auto"/>
        <w:right w:val="none" w:sz="0" w:space="0" w:color="auto"/>
      </w:divBdr>
    </w:div>
    <w:div w:id="192766832">
      <w:bodyDiv w:val="1"/>
      <w:marLeft w:val="0"/>
      <w:marRight w:val="0"/>
      <w:marTop w:val="0"/>
      <w:marBottom w:val="0"/>
      <w:divBdr>
        <w:top w:val="none" w:sz="0" w:space="0" w:color="auto"/>
        <w:left w:val="none" w:sz="0" w:space="0" w:color="auto"/>
        <w:bottom w:val="none" w:sz="0" w:space="0" w:color="auto"/>
        <w:right w:val="none" w:sz="0" w:space="0" w:color="auto"/>
      </w:divBdr>
    </w:div>
    <w:div w:id="218131037">
      <w:bodyDiv w:val="1"/>
      <w:marLeft w:val="0"/>
      <w:marRight w:val="0"/>
      <w:marTop w:val="0"/>
      <w:marBottom w:val="0"/>
      <w:divBdr>
        <w:top w:val="none" w:sz="0" w:space="0" w:color="auto"/>
        <w:left w:val="none" w:sz="0" w:space="0" w:color="auto"/>
        <w:bottom w:val="none" w:sz="0" w:space="0" w:color="auto"/>
        <w:right w:val="none" w:sz="0" w:space="0" w:color="auto"/>
      </w:divBdr>
    </w:div>
    <w:div w:id="220287037">
      <w:bodyDiv w:val="1"/>
      <w:marLeft w:val="0"/>
      <w:marRight w:val="0"/>
      <w:marTop w:val="0"/>
      <w:marBottom w:val="0"/>
      <w:divBdr>
        <w:top w:val="none" w:sz="0" w:space="0" w:color="auto"/>
        <w:left w:val="none" w:sz="0" w:space="0" w:color="auto"/>
        <w:bottom w:val="none" w:sz="0" w:space="0" w:color="auto"/>
        <w:right w:val="none" w:sz="0" w:space="0" w:color="auto"/>
      </w:divBdr>
    </w:div>
    <w:div w:id="292950031">
      <w:bodyDiv w:val="1"/>
      <w:marLeft w:val="0"/>
      <w:marRight w:val="0"/>
      <w:marTop w:val="0"/>
      <w:marBottom w:val="0"/>
      <w:divBdr>
        <w:top w:val="none" w:sz="0" w:space="0" w:color="auto"/>
        <w:left w:val="none" w:sz="0" w:space="0" w:color="auto"/>
        <w:bottom w:val="none" w:sz="0" w:space="0" w:color="auto"/>
        <w:right w:val="none" w:sz="0" w:space="0" w:color="auto"/>
      </w:divBdr>
    </w:div>
    <w:div w:id="314338452">
      <w:bodyDiv w:val="1"/>
      <w:marLeft w:val="0"/>
      <w:marRight w:val="0"/>
      <w:marTop w:val="0"/>
      <w:marBottom w:val="0"/>
      <w:divBdr>
        <w:top w:val="none" w:sz="0" w:space="0" w:color="auto"/>
        <w:left w:val="none" w:sz="0" w:space="0" w:color="auto"/>
        <w:bottom w:val="none" w:sz="0" w:space="0" w:color="auto"/>
        <w:right w:val="none" w:sz="0" w:space="0" w:color="auto"/>
      </w:divBdr>
    </w:div>
    <w:div w:id="377634158">
      <w:bodyDiv w:val="1"/>
      <w:marLeft w:val="0"/>
      <w:marRight w:val="0"/>
      <w:marTop w:val="0"/>
      <w:marBottom w:val="0"/>
      <w:divBdr>
        <w:top w:val="none" w:sz="0" w:space="0" w:color="auto"/>
        <w:left w:val="none" w:sz="0" w:space="0" w:color="auto"/>
        <w:bottom w:val="none" w:sz="0" w:space="0" w:color="auto"/>
        <w:right w:val="none" w:sz="0" w:space="0" w:color="auto"/>
      </w:divBdr>
    </w:div>
    <w:div w:id="395200816">
      <w:bodyDiv w:val="1"/>
      <w:marLeft w:val="0"/>
      <w:marRight w:val="0"/>
      <w:marTop w:val="0"/>
      <w:marBottom w:val="0"/>
      <w:divBdr>
        <w:top w:val="none" w:sz="0" w:space="0" w:color="auto"/>
        <w:left w:val="none" w:sz="0" w:space="0" w:color="auto"/>
        <w:bottom w:val="none" w:sz="0" w:space="0" w:color="auto"/>
        <w:right w:val="none" w:sz="0" w:space="0" w:color="auto"/>
      </w:divBdr>
    </w:div>
    <w:div w:id="400176063">
      <w:bodyDiv w:val="1"/>
      <w:marLeft w:val="0"/>
      <w:marRight w:val="0"/>
      <w:marTop w:val="0"/>
      <w:marBottom w:val="0"/>
      <w:divBdr>
        <w:top w:val="none" w:sz="0" w:space="0" w:color="auto"/>
        <w:left w:val="none" w:sz="0" w:space="0" w:color="auto"/>
        <w:bottom w:val="none" w:sz="0" w:space="0" w:color="auto"/>
        <w:right w:val="none" w:sz="0" w:space="0" w:color="auto"/>
      </w:divBdr>
    </w:div>
    <w:div w:id="422340309">
      <w:bodyDiv w:val="1"/>
      <w:marLeft w:val="0"/>
      <w:marRight w:val="0"/>
      <w:marTop w:val="0"/>
      <w:marBottom w:val="0"/>
      <w:divBdr>
        <w:top w:val="none" w:sz="0" w:space="0" w:color="auto"/>
        <w:left w:val="none" w:sz="0" w:space="0" w:color="auto"/>
        <w:bottom w:val="none" w:sz="0" w:space="0" w:color="auto"/>
        <w:right w:val="none" w:sz="0" w:space="0" w:color="auto"/>
      </w:divBdr>
    </w:div>
    <w:div w:id="504367960">
      <w:bodyDiv w:val="1"/>
      <w:marLeft w:val="0"/>
      <w:marRight w:val="0"/>
      <w:marTop w:val="0"/>
      <w:marBottom w:val="0"/>
      <w:divBdr>
        <w:top w:val="none" w:sz="0" w:space="0" w:color="auto"/>
        <w:left w:val="none" w:sz="0" w:space="0" w:color="auto"/>
        <w:bottom w:val="none" w:sz="0" w:space="0" w:color="auto"/>
        <w:right w:val="none" w:sz="0" w:space="0" w:color="auto"/>
      </w:divBdr>
      <w:divsChild>
        <w:div w:id="1251621636">
          <w:marLeft w:val="547"/>
          <w:marRight w:val="0"/>
          <w:marTop w:val="134"/>
          <w:marBottom w:val="0"/>
          <w:divBdr>
            <w:top w:val="none" w:sz="0" w:space="0" w:color="auto"/>
            <w:left w:val="none" w:sz="0" w:space="0" w:color="auto"/>
            <w:bottom w:val="none" w:sz="0" w:space="0" w:color="auto"/>
            <w:right w:val="none" w:sz="0" w:space="0" w:color="auto"/>
          </w:divBdr>
        </w:div>
      </w:divsChild>
    </w:div>
    <w:div w:id="517089487">
      <w:bodyDiv w:val="1"/>
      <w:marLeft w:val="0"/>
      <w:marRight w:val="0"/>
      <w:marTop w:val="0"/>
      <w:marBottom w:val="0"/>
      <w:divBdr>
        <w:top w:val="none" w:sz="0" w:space="0" w:color="auto"/>
        <w:left w:val="none" w:sz="0" w:space="0" w:color="auto"/>
        <w:bottom w:val="none" w:sz="0" w:space="0" w:color="auto"/>
        <w:right w:val="none" w:sz="0" w:space="0" w:color="auto"/>
      </w:divBdr>
    </w:div>
    <w:div w:id="552498851">
      <w:bodyDiv w:val="1"/>
      <w:marLeft w:val="0"/>
      <w:marRight w:val="0"/>
      <w:marTop w:val="0"/>
      <w:marBottom w:val="0"/>
      <w:divBdr>
        <w:top w:val="none" w:sz="0" w:space="0" w:color="auto"/>
        <w:left w:val="none" w:sz="0" w:space="0" w:color="auto"/>
        <w:bottom w:val="none" w:sz="0" w:space="0" w:color="auto"/>
        <w:right w:val="none" w:sz="0" w:space="0" w:color="auto"/>
      </w:divBdr>
    </w:div>
    <w:div w:id="614138714">
      <w:bodyDiv w:val="1"/>
      <w:marLeft w:val="0"/>
      <w:marRight w:val="0"/>
      <w:marTop w:val="0"/>
      <w:marBottom w:val="0"/>
      <w:divBdr>
        <w:top w:val="none" w:sz="0" w:space="0" w:color="auto"/>
        <w:left w:val="none" w:sz="0" w:space="0" w:color="auto"/>
        <w:bottom w:val="none" w:sz="0" w:space="0" w:color="auto"/>
        <w:right w:val="none" w:sz="0" w:space="0" w:color="auto"/>
      </w:divBdr>
    </w:div>
    <w:div w:id="623318319">
      <w:bodyDiv w:val="1"/>
      <w:marLeft w:val="0"/>
      <w:marRight w:val="0"/>
      <w:marTop w:val="0"/>
      <w:marBottom w:val="0"/>
      <w:divBdr>
        <w:top w:val="none" w:sz="0" w:space="0" w:color="auto"/>
        <w:left w:val="none" w:sz="0" w:space="0" w:color="auto"/>
        <w:bottom w:val="none" w:sz="0" w:space="0" w:color="auto"/>
        <w:right w:val="none" w:sz="0" w:space="0" w:color="auto"/>
      </w:divBdr>
    </w:div>
    <w:div w:id="676931587">
      <w:bodyDiv w:val="1"/>
      <w:marLeft w:val="0"/>
      <w:marRight w:val="0"/>
      <w:marTop w:val="0"/>
      <w:marBottom w:val="0"/>
      <w:divBdr>
        <w:top w:val="none" w:sz="0" w:space="0" w:color="auto"/>
        <w:left w:val="none" w:sz="0" w:space="0" w:color="auto"/>
        <w:bottom w:val="none" w:sz="0" w:space="0" w:color="auto"/>
        <w:right w:val="none" w:sz="0" w:space="0" w:color="auto"/>
      </w:divBdr>
      <w:divsChild>
        <w:div w:id="733969401">
          <w:marLeft w:val="547"/>
          <w:marRight w:val="0"/>
          <w:marTop w:val="134"/>
          <w:marBottom w:val="0"/>
          <w:divBdr>
            <w:top w:val="none" w:sz="0" w:space="0" w:color="auto"/>
            <w:left w:val="none" w:sz="0" w:space="0" w:color="auto"/>
            <w:bottom w:val="none" w:sz="0" w:space="0" w:color="auto"/>
            <w:right w:val="none" w:sz="0" w:space="0" w:color="auto"/>
          </w:divBdr>
        </w:div>
      </w:divsChild>
    </w:div>
    <w:div w:id="716508884">
      <w:bodyDiv w:val="1"/>
      <w:marLeft w:val="0"/>
      <w:marRight w:val="0"/>
      <w:marTop w:val="0"/>
      <w:marBottom w:val="0"/>
      <w:divBdr>
        <w:top w:val="none" w:sz="0" w:space="0" w:color="auto"/>
        <w:left w:val="none" w:sz="0" w:space="0" w:color="auto"/>
        <w:bottom w:val="none" w:sz="0" w:space="0" w:color="auto"/>
        <w:right w:val="none" w:sz="0" w:space="0" w:color="auto"/>
      </w:divBdr>
    </w:div>
    <w:div w:id="764806751">
      <w:bodyDiv w:val="1"/>
      <w:marLeft w:val="0"/>
      <w:marRight w:val="0"/>
      <w:marTop w:val="0"/>
      <w:marBottom w:val="0"/>
      <w:divBdr>
        <w:top w:val="none" w:sz="0" w:space="0" w:color="auto"/>
        <w:left w:val="none" w:sz="0" w:space="0" w:color="auto"/>
        <w:bottom w:val="none" w:sz="0" w:space="0" w:color="auto"/>
        <w:right w:val="none" w:sz="0" w:space="0" w:color="auto"/>
      </w:divBdr>
    </w:div>
    <w:div w:id="812023796">
      <w:bodyDiv w:val="1"/>
      <w:marLeft w:val="0"/>
      <w:marRight w:val="0"/>
      <w:marTop w:val="0"/>
      <w:marBottom w:val="0"/>
      <w:divBdr>
        <w:top w:val="none" w:sz="0" w:space="0" w:color="auto"/>
        <w:left w:val="none" w:sz="0" w:space="0" w:color="auto"/>
        <w:bottom w:val="none" w:sz="0" w:space="0" w:color="auto"/>
        <w:right w:val="none" w:sz="0" w:space="0" w:color="auto"/>
      </w:divBdr>
    </w:div>
    <w:div w:id="860507290">
      <w:bodyDiv w:val="1"/>
      <w:marLeft w:val="0"/>
      <w:marRight w:val="0"/>
      <w:marTop w:val="0"/>
      <w:marBottom w:val="0"/>
      <w:divBdr>
        <w:top w:val="none" w:sz="0" w:space="0" w:color="auto"/>
        <w:left w:val="none" w:sz="0" w:space="0" w:color="auto"/>
        <w:bottom w:val="none" w:sz="0" w:space="0" w:color="auto"/>
        <w:right w:val="none" w:sz="0" w:space="0" w:color="auto"/>
      </w:divBdr>
    </w:div>
    <w:div w:id="861434633">
      <w:bodyDiv w:val="1"/>
      <w:marLeft w:val="0"/>
      <w:marRight w:val="0"/>
      <w:marTop w:val="0"/>
      <w:marBottom w:val="0"/>
      <w:divBdr>
        <w:top w:val="none" w:sz="0" w:space="0" w:color="auto"/>
        <w:left w:val="none" w:sz="0" w:space="0" w:color="auto"/>
        <w:bottom w:val="none" w:sz="0" w:space="0" w:color="auto"/>
        <w:right w:val="none" w:sz="0" w:space="0" w:color="auto"/>
      </w:divBdr>
    </w:div>
    <w:div w:id="868295635">
      <w:bodyDiv w:val="1"/>
      <w:marLeft w:val="0"/>
      <w:marRight w:val="0"/>
      <w:marTop w:val="0"/>
      <w:marBottom w:val="0"/>
      <w:divBdr>
        <w:top w:val="none" w:sz="0" w:space="0" w:color="auto"/>
        <w:left w:val="none" w:sz="0" w:space="0" w:color="auto"/>
        <w:bottom w:val="none" w:sz="0" w:space="0" w:color="auto"/>
        <w:right w:val="none" w:sz="0" w:space="0" w:color="auto"/>
      </w:divBdr>
    </w:div>
    <w:div w:id="963344576">
      <w:bodyDiv w:val="1"/>
      <w:marLeft w:val="0"/>
      <w:marRight w:val="0"/>
      <w:marTop w:val="0"/>
      <w:marBottom w:val="0"/>
      <w:divBdr>
        <w:top w:val="none" w:sz="0" w:space="0" w:color="auto"/>
        <w:left w:val="none" w:sz="0" w:space="0" w:color="auto"/>
        <w:bottom w:val="none" w:sz="0" w:space="0" w:color="auto"/>
        <w:right w:val="none" w:sz="0" w:space="0" w:color="auto"/>
      </w:divBdr>
    </w:div>
    <w:div w:id="978266764">
      <w:bodyDiv w:val="1"/>
      <w:marLeft w:val="0"/>
      <w:marRight w:val="0"/>
      <w:marTop w:val="0"/>
      <w:marBottom w:val="0"/>
      <w:divBdr>
        <w:top w:val="none" w:sz="0" w:space="0" w:color="auto"/>
        <w:left w:val="none" w:sz="0" w:space="0" w:color="auto"/>
        <w:bottom w:val="none" w:sz="0" w:space="0" w:color="auto"/>
        <w:right w:val="none" w:sz="0" w:space="0" w:color="auto"/>
      </w:divBdr>
    </w:div>
    <w:div w:id="997920783">
      <w:bodyDiv w:val="1"/>
      <w:marLeft w:val="0"/>
      <w:marRight w:val="0"/>
      <w:marTop w:val="0"/>
      <w:marBottom w:val="0"/>
      <w:divBdr>
        <w:top w:val="none" w:sz="0" w:space="0" w:color="auto"/>
        <w:left w:val="none" w:sz="0" w:space="0" w:color="auto"/>
        <w:bottom w:val="none" w:sz="0" w:space="0" w:color="auto"/>
        <w:right w:val="none" w:sz="0" w:space="0" w:color="auto"/>
      </w:divBdr>
    </w:div>
    <w:div w:id="1010911269">
      <w:bodyDiv w:val="1"/>
      <w:marLeft w:val="0"/>
      <w:marRight w:val="0"/>
      <w:marTop w:val="0"/>
      <w:marBottom w:val="0"/>
      <w:divBdr>
        <w:top w:val="none" w:sz="0" w:space="0" w:color="auto"/>
        <w:left w:val="none" w:sz="0" w:space="0" w:color="auto"/>
        <w:bottom w:val="none" w:sz="0" w:space="0" w:color="auto"/>
        <w:right w:val="none" w:sz="0" w:space="0" w:color="auto"/>
      </w:divBdr>
      <w:divsChild>
        <w:div w:id="545682979">
          <w:marLeft w:val="547"/>
          <w:marRight w:val="0"/>
          <w:marTop w:val="96"/>
          <w:marBottom w:val="0"/>
          <w:divBdr>
            <w:top w:val="none" w:sz="0" w:space="0" w:color="auto"/>
            <w:left w:val="none" w:sz="0" w:space="0" w:color="auto"/>
            <w:bottom w:val="none" w:sz="0" w:space="0" w:color="auto"/>
            <w:right w:val="none" w:sz="0" w:space="0" w:color="auto"/>
          </w:divBdr>
        </w:div>
      </w:divsChild>
    </w:div>
    <w:div w:id="1062102851">
      <w:bodyDiv w:val="1"/>
      <w:marLeft w:val="0"/>
      <w:marRight w:val="0"/>
      <w:marTop w:val="0"/>
      <w:marBottom w:val="0"/>
      <w:divBdr>
        <w:top w:val="none" w:sz="0" w:space="0" w:color="auto"/>
        <w:left w:val="none" w:sz="0" w:space="0" w:color="auto"/>
        <w:bottom w:val="none" w:sz="0" w:space="0" w:color="auto"/>
        <w:right w:val="none" w:sz="0" w:space="0" w:color="auto"/>
      </w:divBdr>
    </w:div>
    <w:div w:id="1140725589">
      <w:bodyDiv w:val="1"/>
      <w:marLeft w:val="0"/>
      <w:marRight w:val="0"/>
      <w:marTop w:val="0"/>
      <w:marBottom w:val="0"/>
      <w:divBdr>
        <w:top w:val="none" w:sz="0" w:space="0" w:color="auto"/>
        <w:left w:val="none" w:sz="0" w:space="0" w:color="auto"/>
        <w:bottom w:val="none" w:sz="0" w:space="0" w:color="auto"/>
        <w:right w:val="none" w:sz="0" w:space="0" w:color="auto"/>
      </w:divBdr>
    </w:div>
    <w:div w:id="1149595333">
      <w:bodyDiv w:val="1"/>
      <w:marLeft w:val="0"/>
      <w:marRight w:val="0"/>
      <w:marTop w:val="0"/>
      <w:marBottom w:val="0"/>
      <w:divBdr>
        <w:top w:val="none" w:sz="0" w:space="0" w:color="auto"/>
        <w:left w:val="none" w:sz="0" w:space="0" w:color="auto"/>
        <w:bottom w:val="none" w:sz="0" w:space="0" w:color="auto"/>
        <w:right w:val="none" w:sz="0" w:space="0" w:color="auto"/>
      </w:divBdr>
    </w:div>
    <w:div w:id="1150750704">
      <w:bodyDiv w:val="1"/>
      <w:marLeft w:val="0"/>
      <w:marRight w:val="0"/>
      <w:marTop w:val="0"/>
      <w:marBottom w:val="0"/>
      <w:divBdr>
        <w:top w:val="none" w:sz="0" w:space="0" w:color="auto"/>
        <w:left w:val="none" w:sz="0" w:space="0" w:color="auto"/>
        <w:bottom w:val="none" w:sz="0" w:space="0" w:color="auto"/>
        <w:right w:val="none" w:sz="0" w:space="0" w:color="auto"/>
      </w:divBdr>
    </w:div>
    <w:div w:id="1168717962">
      <w:bodyDiv w:val="1"/>
      <w:marLeft w:val="0"/>
      <w:marRight w:val="0"/>
      <w:marTop w:val="0"/>
      <w:marBottom w:val="0"/>
      <w:divBdr>
        <w:top w:val="none" w:sz="0" w:space="0" w:color="auto"/>
        <w:left w:val="none" w:sz="0" w:space="0" w:color="auto"/>
        <w:bottom w:val="none" w:sz="0" w:space="0" w:color="auto"/>
        <w:right w:val="none" w:sz="0" w:space="0" w:color="auto"/>
      </w:divBdr>
    </w:div>
    <w:div w:id="1185511782">
      <w:bodyDiv w:val="1"/>
      <w:marLeft w:val="0"/>
      <w:marRight w:val="0"/>
      <w:marTop w:val="0"/>
      <w:marBottom w:val="0"/>
      <w:divBdr>
        <w:top w:val="none" w:sz="0" w:space="0" w:color="auto"/>
        <w:left w:val="none" w:sz="0" w:space="0" w:color="auto"/>
        <w:bottom w:val="none" w:sz="0" w:space="0" w:color="auto"/>
        <w:right w:val="none" w:sz="0" w:space="0" w:color="auto"/>
      </w:divBdr>
      <w:divsChild>
        <w:div w:id="1325084737">
          <w:marLeft w:val="0"/>
          <w:marRight w:val="0"/>
          <w:marTop w:val="0"/>
          <w:marBottom w:val="0"/>
          <w:divBdr>
            <w:top w:val="none" w:sz="0" w:space="0" w:color="auto"/>
            <w:left w:val="none" w:sz="0" w:space="0" w:color="auto"/>
            <w:bottom w:val="none" w:sz="0" w:space="0" w:color="auto"/>
            <w:right w:val="none" w:sz="0" w:space="0" w:color="auto"/>
          </w:divBdr>
          <w:divsChild>
            <w:div w:id="83454914">
              <w:marLeft w:val="0"/>
              <w:marRight w:val="0"/>
              <w:marTop w:val="0"/>
              <w:marBottom w:val="0"/>
              <w:divBdr>
                <w:top w:val="none" w:sz="0" w:space="0" w:color="auto"/>
                <w:left w:val="none" w:sz="0" w:space="0" w:color="auto"/>
                <w:bottom w:val="none" w:sz="0" w:space="0" w:color="auto"/>
                <w:right w:val="none" w:sz="0" w:space="0" w:color="auto"/>
              </w:divBdr>
              <w:divsChild>
                <w:div w:id="2087221186">
                  <w:marLeft w:val="0"/>
                  <w:marRight w:val="0"/>
                  <w:marTop w:val="0"/>
                  <w:marBottom w:val="0"/>
                  <w:divBdr>
                    <w:top w:val="none" w:sz="0" w:space="0" w:color="auto"/>
                    <w:left w:val="none" w:sz="0" w:space="0" w:color="auto"/>
                    <w:bottom w:val="none" w:sz="0" w:space="0" w:color="auto"/>
                    <w:right w:val="none" w:sz="0" w:space="0" w:color="auto"/>
                  </w:divBdr>
                </w:div>
              </w:divsChild>
            </w:div>
            <w:div w:id="122768975">
              <w:marLeft w:val="-15"/>
              <w:marRight w:val="0"/>
              <w:marTop w:val="0"/>
              <w:marBottom w:val="0"/>
              <w:divBdr>
                <w:top w:val="none" w:sz="0" w:space="0" w:color="auto"/>
                <w:left w:val="none" w:sz="0" w:space="0" w:color="auto"/>
                <w:bottom w:val="none" w:sz="0" w:space="0" w:color="auto"/>
                <w:right w:val="none" w:sz="0" w:space="0" w:color="auto"/>
              </w:divBdr>
            </w:div>
            <w:div w:id="1524708011">
              <w:marLeft w:val="0"/>
              <w:marRight w:val="0"/>
              <w:marTop w:val="0"/>
              <w:marBottom w:val="0"/>
              <w:divBdr>
                <w:top w:val="none" w:sz="0" w:space="0" w:color="auto"/>
                <w:left w:val="none" w:sz="0" w:space="0" w:color="auto"/>
                <w:bottom w:val="none" w:sz="0" w:space="0" w:color="auto"/>
                <w:right w:val="none" w:sz="0" w:space="0" w:color="auto"/>
              </w:divBdr>
            </w:div>
            <w:div w:id="1359309947">
              <w:marLeft w:val="75"/>
              <w:marRight w:val="0"/>
              <w:marTop w:val="0"/>
              <w:marBottom w:val="0"/>
              <w:divBdr>
                <w:top w:val="none" w:sz="0" w:space="0" w:color="auto"/>
                <w:left w:val="none" w:sz="0" w:space="0" w:color="auto"/>
                <w:bottom w:val="none" w:sz="0" w:space="0" w:color="auto"/>
                <w:right w:val="none" w:sz="0" w:space="0" w:color="auto"/>
              </w:divBdr>
            </w:div>
          </w:divsChild>
        </w:div>
        <w:div w:id="1748963835">
          <w:marLeft w:val="0"/>
          <w:marRight w:val="225"/>
          <w:marTop w:val="75"/>
          <w:marBottom w:val="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sChild>
                <w:div w:id="83914837">
                  <w:marLeft w:val="0"/>
                  <w:marRight w:val="0"/>
                  <w:marTop w:val="0"/>
                  <w:marBottom w:val="0"/>
                  <w:divBdr>
                    <w:top w:val="none" w:sz="0" w:space="0" w:color="auto"/>
                    <w:left w:val="none" w:sz="0" w:space="0" w:color="auto"/>
                    <w:bottom w:val="none" w:sz="0" w:space="0" w:color="auto"/>
                    <w:right w:val="none" w:sz="0" w:space="0" w:color="auto"/>
                  </w:divBdr>
                  <w:divsChild>
                    <w:div w:id="12141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2828">
      <w:bodyDiv w:val="1"/>
      <w:marLeft w:val="0"/>
      <w:marRight w:val="0"/>
      <w:marTop w:val="0"/>
      <w:marBottom w:val="0"/>
      <w:divBdr>
        <w:top w:val="none" w:sz="0" w:space="0" w:color="auto"/>
        <w:left w:val="none" w:sz="0" w:space="0" w:color="auto"/>
        <w:bottom w:val="none" w:sz="0" w:space="0" w:color="auto"/>
        <w:right w:val="none" w:sz="0" w:space="0" w:color="auto"/>
      </w:divBdr>
    </w:div>
    <w:div w:id="1385594123">
      <w:bodyDiv w:val="1"/>
      <w:marLeft w:val="0"/>
      <w:marRight w:val="0"/>
      <w:marTop w:val="0"/>
      <w:marBottom w:val="0"/>
      <w:divBdr>
        <w:top w:val="none" w:sz="0" w:space="0" w:color="auto"/>
        <w:left w:val="none" w:sz="0" w:space="0" w:color="auto"/>
        <w:bottom w:val="none" w:sz="0" w:space="0" w:color="auto"/>
        <w:right w:val="none" w:sz="0" w:space="0" w:color="auto"/>
      </w:divBdr>
    </w:div>
    <w:div w:id="1396732944">
      <w:bodyDiv w:val="1"/>
      <w:marLeft w:val="0"/>
      <w:marRight w:val="0"/>
      <w:marTop w:val="0"/>
      <w:marBottom w:val="0"/>
      <w:divBdr>
        <w:top w:val="none" w:sz="0" w:space="0" w:color="auto"/>
        <w:left w:val="none" w:sz="0" w:space="0" w:color="auto"/>
        <w:bottom w:val="none" w:sz="0" w:space="0" w:color="auto"/>
        <w:right w:val="none" w:sz="0" w:space="0" w:color="auto"/>
      </w:divBdr>
    </w:div>
    <w:div w:id="1437362578">
      <w:bodyDiv w:val="1"/>
      <w:marLeft w:val="0"/>
      <w:marRight w:val="0"/>
      <w:marTop w:val="0"/>
      <w:marBottom w:val="0"/>
      <w:divBdr>
        <w:top w:val="none" w:sz="0" w:space="0" w:color="auto"/>
        <w:left w:val="none" w:sz="0" w:space="0" w:color="auto"/>
        <w:bottom w:val="none" w:sz="0" w:space="0" w:color="auto"/>
        <w:right w:val="none" w:sz="0" w:space="0" w:color="auto"/>
      </w:divBdr>
    </w:div>
    <w:div w:id="1446848894">
      <w:bodyDiv w:val="1"/>
      <w:marLeft w:val="0"/>
      <w:marRight w:val="0"/>
      <w:marTop w:val="0"/>
      <w:marBottom w:val="0"/>
      <w:divBdr>
        <w:top w:val="none" w:sz="0" w:space="0" w:color="auto"/>
        <w:left w:val="none" w:sz="0" w:space="0" w:color="auto"/>
        <w:bottom w:val="none" w:sz="0" w:space="0" w:color="auto"/>
        <w:right w:val="none" w:sz="0" w:space="0" w:color="auto"/>
      </w:divBdr>
    </w:div>
    <w:div w:id="1462768903">
      <w:bodyDiv w:val="1"/>
      <w:marLeft w:val="0"/>
      <w:marRight w:val="0"/>
      <w:marTop w:val="0"/>
      <w:marBottom w:val="0"/>
      <w:divBdr>
        <w:top w:val="none" w:sz="0" w:space="0" w:color="auto"/>
        <w:left w:val="none" w:sz="0" w:space="0" w:color="auto"/>
        <w:bottom w:val="none" w:sz="0" w:space="0" w:color="auto"/>
        <w:right w:val="none" w:sz="0" w:space="0" w:color="auto"/>
      </w:divBdr>
    </w:div>
    <w:div w:id="1484812342">
      <w:bodyDiv w:val="1"/>
      <w:marLeft w:val="0"/>
      <w:marRight w:val="0"/>
      <w:marTop w:val="0"/>
      <w:marBottom w:val="0"/>
      <w:divBdr>
        <w:top w:val="none" w:sz="0" w:space="0" w:color="auto"/>
        <w:left w:val="none" w:sz="0" w:space="0" w:color="auto"/>
        <w:bottom w:val="none" w:sz="0" w:space="0" w:color="auto"/>
        <w:right w:val="none" w:sz="0" w:space="0" w:color="auto"/>
      </w:divBdr>
    </w:div>
    <w:div w:id="1562056311">
      <w:bodyDiv w:val="1"/>
      <w:marLeft w:val="0"/>
      <w:marRight w:val="0"/>
      <w:marTop w:val="0"/>
      <w:marBottom w:val="0"/>
      <w:divBdr>
        <w:top w:val="none" w:sz="0" w:space="0" w:color="auto"/>
        <w:left w:val="none" w:sz="0" w:space="0" w:color="auto"/>
        <w:bottom w:val="none" w:sz="0" w:space="0" w:color="auto"/>
        <w:right w:val="none" w:sz="0" w:space="0" w:color="auto"/>
      </w:divBdr>
    </w:div>
    <w:div w:id="1591428838">
      <w:bodyDiv w:val="1"/>
      <w:marLeft w:val="0"/>
      <w:marRight w:val="0"/>
      <w:marTop w:val="0"/>
      <w:marBottom w:val="0"/>
      <w:divBdr>
        <w:top w:val="none" w:sz="0" w:space="0" w:color="auto"/>
        <w:left w:val="none" w:sz="0" w:space="0" w:color="auto"/>
        <w:bottom w:val="none" w:sz="0" w:space="0" w:color="auto"/>
        <w:right w:val="none" w:sz="0" w:space="0" w:color="auto"/>
      </w:divBdr>
    </w:div>
    <w:div w:id="1601452171">
      <w:bodyDiv w:val="1"/>
      <w:marLeft w:val="0"/>
      <w:marRight w:val="0"/>
      <w:marTop w:val="0"/>
      <w:marBottom w:val="0"/>
      <w:divBdr>
        <w:top w:val="none" w:sz="0" w:space="0" w:color="auto"/>
        <w:left w:val="none" w:sz="0" w:space="0" w:color="auto"/>
        <w:bottom w:val="none" w:sz="0" w:space="0" w:color="auto"/>
        <w:right w:val="none" w:sz="0" w:space="0" w:color="auto"/>
      </w:divBdr>
    </w:div>
    <w:div w:id="1665477426">
      <w:bodyDiv w:val="1"/>
      <w:marLeft w:val="0"/>
      <w:marRight w:val="0"/>
      <w:marTop w:val="0"/>
      <w:marBottom w:val="0"/>
      <w:divBdr>
        <w:top w:val="none" w:sz="0" w:space="0" w:color="auto"/>
        <w:left w:val="none" w:sz="0" w:space="0" w:color="auto"/>
        <w:bottom w:val="none" w:sz="0" w:space="0" w:color="auto"/>
        <w:right w:val="none" w:sz="0" w:space="0" w:color="auto"/>
      </w:divBdr>
    </w:div>
    <w:div w:id="1693145962">
      <w:bodyDiv w:val="1"/>
      <w:marLeft w:val="0"/>
      <w:marRight w:val="0"/>
      <w:marTop w:val="0"/>
      <w:marBottom w:val="0"/>
      <w:divBdr>
        <w:top w:val="none" w:sz="0" w:space="0" w:color="auto"/>
        <w:left w:val="none" w:sz="0" w:space="0" w:color="auto"/>
        <w:bottom w:val="none" w:sz="0" w:space="0" w:color="auto"/>
        <w:right w:val="none" w:sz="0" w:space="0" w:color="auto"/>
      </w:divBdr>
    </w:div>
    <w:div w:id="1758598808">
      <w:bodyDiv w:val="1"/>
      <w:marLeft w:val="0"/>
      <w:marRight w:val="0"/>
      <w:marTop w:val="0"/>
      <w:marBottom w:val="0"/>
      <w:divBdr>
        <w:top w:val="none" w:sz="0" w:space="0" w:color="auto"/>
        <w:left w:val="none" w:sz="0" w:space="0" w:color="auto"/>
        <w:bottom w:val="none" w:sz="0" w:space="0" w:color="auto"/>
        <w:right w:val="none" w:sz="0" w:space="0" w:color="auto"/>
      </w:divBdr>
    </w:div>
    <w:div w:id="1779057888">
      <w:bodyDiv w:val="1"/>
      <w:marLeft w:val="0"/>
      <w:marRight w:val="0"/>
      <w:marTop w:val="0"/>
      <w:marBottom w:val="0"/>
      <w:divBdr>
        <w:top w:val="none" w:sz="0" w:space="0" w:color="auto"/>
        <w:left w:val="none" w:sz="0" w:space="0" w:color="auto"/>
        <w:bottom w:val="none" w:sz="0" w:space="0" w:color="auto"/>
        <w:right w:val="none" w:sz="0" w:space="0" w:color="auto"/>
      </w:divBdr>
    </w:div>
    <w:div w:id="1801456680">
      <w:bodyDiv w:val="1"/>
      <w:marLeft w:val="0"/>
      <w:marRight w:val="0"/>
      <w:marTop w:val="0"/>
      <w:marBottom w:val="0"/>
      <w:divBdr>
        <w:top w:val="none" w:sz="0" w:space="0" w:color="auto"/>
        <w:left w:val="none" w:sz="0" w:space="0" w:color="auto"/>
        <w:bottom w:val="none" w:sz="0" w:space="0" w:color="auto"/>
        <w:right w:val="none" w:sz="0" w:space="0" w:color="auto"/>
      </w:divBdr>
    </w:div>
    <w:div w:id="1876111983">
      <w:bodyDiv w:val="1"/>
      <w:marLeft w:val="0"/>
      <w:marRight w:val="0"/>
      <w:marTop w:val="0"/>
      <w:marBottom w:val="0"/>
      <w:divBdr>
        <w:top w:val="none" w:sz="0" w:space="0" w:color="auto"/>
        <w:left w:val="none" w:sz="0" w:space="0" w:color="auto"/>
        <w:bottom w:val="none" w:sz="0" w:space="0" w:color="auto"/>
        <w:right w:val="none" w:sz="0" w:space="0" w:color="auto"/>
      </w:divBdr>
    </w:div>
    <w:div w:id="1897202475">
      <w:bodyDiv w:val="1"/>
      <w:marLeft w:val="0"/>
      <w:marRight w:val="0"/>
      <w:marTop w:val="0"/>
      <w:marBottom w:val="0"/>
      <w:divBdr>
        <w:top w:val="none" w:sz="0" w:space="0" w:color="auto"/>
        <w:left w:val="none" w:sz="0" w:space="0" w:color="auto"/>
        <w:bottom w:val="none" w:sz="0" w:space="0" w:color="auto"/>
        <w:right w:val="none" w:sz="0" w:space="0" w:color="auto"/>
      </w:divBdr>
    </w:div>
    <w:div w:id="1902055144">
      <w:bodyDiv w:val="1"/>
      <w:marLeft w:val="0"/>
      <w:marRight w:val="0"/>
      <w:marTop w:val="0"/>
      <w:marBottom w:val="0"/>
      <w:divBdr>
        <w:top w:val="none" w:sz="0" w:space="0" w:color="auto"/>
        <w:left w:val="none" w:sz="0" w:space="0" w:color="auto"/>
        <w:bottom w:val="none" w:sz="0" w:space="0" w:color="auto"/>
        <w:right w:val="none" w:sz="0" w:space="0" w:color="auto"/>
      </w:divBdr>
    </w:div>
    <w:div w:id="1910310647">
      <w:bodyDiv w:val="1"/>
      <w:marLeft w:val="0"/>
      <w:marRight w:val="0"/>
      <w:marTop w:val="0"/>
      <w:marBottom w:val="0"/>
      <w:divBdr>
        <w:top w:val="none" w:sz="0" w:space="0" w:color="auto"/>
        <w:left w:val="none" w:sz="0" w:space="0" w:color="auto"/>
        <w:bottom w:val="none" w:sz="0" w:space="0" w:color="auto"/>
        <w:right w:val="none" w:sz="0" w:space="0" w:color="auto"/>
      </w:divBdr>
    </w:div>
    <w:div w:id="1910381913">
      <w:bodyDiv w:val="1"/>
      <w:marLeft w:val="0"/>
      <w:marRight w:val="0"/>
      <w:marTop w:val="0"/>
      <w:marBottom w:val="0"/>
      <w:divBdr>
        <w:top w:val="none" w:sz="0" w:space="0" w:color="auto"/>
        <w:left w:val="none" w:sz="0" w:space="0" w:color="auto"/>
        <w:bottom w:val="none" w:sz="0" w:space="0" w:color="auto"/>
        <w:right w:val="none" w:sz="0" w:space="0" w:color="auto"/>
      </w:divBdr>
    </w:div>
    <w:div w:id="1941913171">
      <w:bodyDiv w:val="1"/>
      <w:marLeft w:val="0"/>
      <w:marRight w:val="0"/>
      <w:marTop w:val="0"/>
      <w:marBottom w:val="0"/>
      <w:divBdr>
        <w:top w:val="none" w:sz="0" w:space="0" w:color="auto"/>
        <w:left w:val="none" w:sz="0" w:space="0" w:color="auto"/>
        <w:bottom w:val="none" w:sz="0" w:space="0" w:color="auto"/>
        <w:right w:val="none" w:sz="0" w:space="0" w:color="auto"/>
      </w:divBdr>
    </w:div>
    <w:div w:id="1962110889">
      <w:bodyDiv w:val="1"/>
      <w:marLeft w:val="0"/>
      <w:marRight w:val="0"/>
      <w:marTop w:val="0"/>
      <w:marBottom w:val="0"/>
      <w:divBdr>
        <w:top w:val="none" w:sz="0" w:space="0" w:color="auto"/>
        <w:left w:val="none" w:sz="0" w:space="0" w:color="auto"/>
        <w:bottom w:val="none" w:sz="0" w:space="0" w:color="auto"/>
        <w:right w:val="none" w:sz="0" w:space="0" w:color="auto"/>
      </w:divBdr>
    </w:div>
    <w:div w:id="2124693259">
      <w:bodyDiv w:val="1"/>
      <w:marLeft w:val="0"/>
      <w:marRight w:val="0"/>
      <w:marTop w:val="0"/>
      <w:marBottom w:val="0"/>
      <w:divBdr>
        <w:top w:val="none" w:sz="0" w:space="0" w:color="auto"/>
        <w:left w:val="none" w:sz="0" w:space="0" w:color="auto"/>
        <w:bottom w:val="none" w:sz="0" w:space="0" w:color="auto"/>
        <w:right w:val="none" w:sz="0" w:space="0" w:color="auto"/>
      </w:divBdr>
      <w:divsChild>
        <w:div w:id="170481897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1111</Words>
  <Characters>6337</Characters>
  <Application>Microsoft Office Word</Application>
  <DocSecurity>0</DocSecurity>
  <Lines>52</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Ümit Yalım</cp:lastModifiedBy>
  <cp:revision>1136</cp:revision>
  <cp:lastPrinted>2017-10-16T13:44:00Z</cp:lastPrinted>
  <dcterms:created xsi:type="dcterms:W3CDTF">2015-05-17T12:10:00Z</dcterms:created>
  <dcterms:modified xsi:type="dcterms:W3CDTF">2019-09-17T08:11:00Z</dcterms:modified>
</cp:coreProperties>
</file>